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F0" w:rsidRDefault="007767FB" w:rsidP="00766305">
      <w:pPr>
        <w:spacing w:after="0"/>
        <w:ind w:left="284" w:right="-284" w:firstLine="283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Fluoresc</w:t>
      </w:r>
      <w:r w:rsidR="00C06DF0" w:rsidRPr="00C06DF0">
        <w:rPr>
          <w:rFonts w:ascii="Times New Roman" w:hAnsi="Times New Roman" w:cs="Times New Roman"/>
          <w:b/>
          <w:sz w:val="24"/>
          <w:szCs w:val="24"/>
          <w:lang w:val="en-GB"/>
        </w:rPr>
        <w:t>en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ce</w:t>
      </w:r>
      <w:r w:rsidR="00C06DF0" w:rsidRPr="00C06DF0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and molecular dynamic study of lysozyme amyloid fibrils</w:t>
      </w:r>
    </w:p>
    <w:p w:rsidR="0039696A" w:rsidRPr="00C06DF0" w:rsidRDefault="0039696A" w:rsidP="0039696A">
      <w:pPr>
        <w:spacing w:after="0"/>
        <w:ind w:left="284" w:right="-284" w:firstLine="283"/>
        <w:jc w:val="center"/>
        <w:rPr>
          <w:rFonts w:ascii="Times New Roman" w:hAnsi="Times New Roman" w:cs="Times New Roman"/>
          <w:i/>
          <w:lang w:val="uk-UA"/>
        </w:rPr>
      </w:pPr>
      <w:proofErr w:type="spellStart"/>
      <w:r>
        <w:rPr>
          <w:rFonts w:ascii="Times New Roman" w:hAnsi="Times New Roman" w:cs="Times New Roman"/>
          <w:i/>
          <w:lang w:val="en-GB"/>
        </w:rPr>
        <w:t>Tarabara</w:t>
      </w:r>
      <w:proofErr w:type="spellEnd"/>
      <w:r w:rsidRPr="0039696A">
        <w:rPr>
          <w:rFonts w:ascii="Times New Roman" w:hAnsi="Times New Roman" w:cs="Times New Roman"/>
          <w:i/>
          <w:lang w:val="en-US"/>
        </w:rPr>
        <w:t xml:space="preserve"> </w:t>
      </w:r>
      <w:r>
        <w:rPr>
          <w:rFonts w:ascii="Times New Roman" w:hAnsi="Times New Roman" w:cs="Times New Roman"/>
          <w:i/>
          <w:lang w:val="en-GB"/>
        </w:rPr>
        <w:t>U</w:t>
      </w:r>
      <w:r w:rsidRPr="0039696A">
        <w:rPr>
          <w:rFonts w:ascii="Times New Roman" w:hAnsi="Times New Roman" w:cs="Times New Roman"/>
          <w:i/>
          <w:lang w:val="en-US"/>
        </w:rPr>
        <w:t>.</w:t>
      </w:r>
      <w:r>
        <w:rPr>
          <w:rFonts w:ascii="Times New Roman" w:hAnsi="Times New Roman" w:cs="Times New Roman"/>
          <w:i/>
          <w:lang w:val="en-GB"/>
        </w:rPr>
        <w:t>K</w:t>
      </w:r>
      <w:r w:rsidRPr="00C06DF0">
        <w:rPr>
          <w:rFonts w:ascii="Times New Roman" w:hAnsi="Times New Roman" w:cs="Times New Roman"/>
          <w:i/>
          <w:lang w:val="uk-UA"/>
        </w:rPr>
        <w:t xml:space="preserve"> (</w:t>
      </w:r>
      <w:proofErr w:type="spellStart"/>
      <w:r w:rsidRPr="0039696A">
        <w:rPr>
          <w:rFonts w:ascii="Times New Roman" w:hAnsi="Times New Roman" w:cs="Times New Roman"/>
          <w:i/>
          <w:lang w:val="uk-UA"/>
        </w:rPr>
        <w:t>research</w:t>
      </w:r>
      <w:proofErr w:type="spellEnd"/>
      <w:r w:rsidRPr="0039696A">
        <w:rPr>
          <w:rFonts w:ascii="Times New Roman" w:hAnsi="Times New Roman" w:cs="Times New Roman"/>
          <w:i/>
          <w:lang w:val="uk-UA"/>
        </w:rPr>
        <w:t xml:space="preserve"> </w:t>
      </w:r>
      <w:proofErr w:type="spellStart"/>
      <w:r w:rsidRPr="0039696A">
        <w:rPr>
          <w:rFonts w:ascii="Times New Roman" w:hAnsi="Times New Roman" w:cs="Times New Roman"/>
          <w:i/>
          <w:lang w:val="uk-UA"/>
        </w:rPr>
        <w:t>supervisor</w:t>
      </w:r>
      <w:proofErr w:type="spellEnd"/>
      <w:r>
        <w:rPr>
          <w:rFonts w:ascii="Times New Roman" w:hAnsi="Times New Roman" w:cs="Times New Roman"/>
          <w:i/>
          <w:lang w:val="en-GB"/>
        </w:rPr>
        <w:t xml:space="preserve"> </w:t>
      </w:r>
      <w:r w:rsidRPr="00C06DF0">
        <w:rPr>
          <w:rFonts w:ascii="Times New Roman" w:hAnsi="Times New Roman" w:cs="Times New Roman"/>
          <w:i/>
          <w:lang w:val="uk-UA"/>
        </w:rPr>
        <w:t xml:space="preserve">– </w:t>
      </w:r>
      <w:r>
        <w:rPr>
          <w:rFonts w:ascii="Times New Roman" w:hAnsi="Times New Roman" w:cs="Times New Roman"/>
          <w:i/>
          <w:lang w:val="en-GB"/>
        </w:rPr>
        <w:t>prof</w:t>
      </w:r>
      <w:r w:rsidRPr="00C06DF0">
        <w:rPr>
          <w:rFonts w:ascii="Times New Roman" w:hAnsi="Times New Roman" w:cs="Times New Roman"/>
          <w:i/>
          <w:lang w:val="uk-UA"/>
        </w:rPr>
        <w:t>.</w:t>
      </w:r>
      <w:r>
        <w:rPr>
          <w:rFonts w:ascii="Times New Roman" w:hAnsi="Times New Roman" w:cs="Times New Roman"/>
          <w:i/>
          <w:lang w:val="en-GB"/>
        </w:rPr>
        <w:t xml:space="preserve"> </w:t>
      </w:r>
      <w:r w:rsidR="00745278">
        <w:rPr>
          <w:rFonts w:ascii="Times New Roman" w:hAnsi="Times New Roman" w:cs="Times New Roman"/>
          <w:i/>
          <w:lang w:val="en-GB"/>
        </w:rPr>
        <w:t xml:space="preserve">V. </w:t>
      </w:r>
      <w:proofErr w:type="spellStart"/>
      <w:r>
        <w:rPr>
          <w:rFonts w:ascii="Times New Roman" w:hAnsi="Times New Roman" w:cs="Times New Roman"/>
          <w:i/>
          <w:lang w:val="en-GB"/>
        </w:rPr>
        <w:t>Trusova</w:t>
      </w:r>
      <w:proofErr w:type="spellEnd"/>
      <w:r w:rsidRPr="00C06DF0">
        <w:rPr>
          <w:rFonts w:ascii="Times New Roman" w:hAnsi="Times New Roman" w:cs="Times New Roman"/>
          <w:i/>
          <w:lang w:val="uk-UA"/>
        </w:rPr>
        <w:t>)</w:t>
      </w:r>
    </w:p>
    <w:p w:rsidR="00BC6537" w:rsidRPr="00C06DF0" w:rsidRDefault="00C06DF0" w:rsidP="00766305">
      <w:pPr>
        <w:spacing w:after="0"/>
        <w:ind w:left="284" w:right="-284" w:firstLine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06DF0">
        <w:rPr>
          <w:rFonts w:ascii="Times New Roman" w:hAnsi="Times New Roman" w:cs="Times New Roman"/>
          <w:b/>
          <w:sz w:val="24"/>
          <w:szCs w:val="24"/>
          <w:lang w:val="uk-UA"/>
        </w:rPr>
        <w:t>Флуоресцентне</w:t>
      </w:r>
      <w:r w:rsidR="00CE53E5" w:rsidRPr="00C06D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молекулярно-динамічне дослідження </w:t>
      </w:r>
      <w:proofErr w:type="spellStart"/>
      <w:r w:rsidRPr="00C06DF0">
        <w:rPr>
          <w:rFonts w:ascii="Times New Roman" w:hAnsi="Times New Roman" w:cs="Times New Roman"/>
          <w:b/>
          <w:sz w:val="24"/>
          <w:szCs w:val="24"/>
          <w:lang w:val="uk-UA"/>
        </w:rPr>
        <w:t>амілоїдних</w:t>
      </w:r>
      <w:proofErr w:type="spellEnd"/>
      <w:r w:rsidRPr="00C06D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фібрил лізоциму</w:t>
      </w:r>
    </w:p>
    <w:p w:rsidR="00CE53E5" w:rsidRPr="00C06DF0" w:rsidRDefault="00CE53E5" w:rsidP="00766305">
      <w:pPr>
        <w:spacing w:after="0"/>
        <w:ind w:left="284" w:right="-284" w:firstLine="283"/>
        <w:jc w:val="center"/>
        <w:rPr>
          <w:rFonts w:ascii="Times New Roman" w:hAnsi="Times New Roman" w:cs="Times New Roman"/>
          <w:i/>
          <w:lang w:val="uk-UA"/>
        </w:rPr>
      </w:pPr>
      <w:proofErr w:type="spellStart"/>
      <w:r w:rsidRPr="00C06DF0">
        <w:rPr>
          <w:rFonts w:ascii="Times New Roman" w:hAnsi="Times New Roman" w:cs="Times New Roman"/>
          <w:i/>
          <w:lang w:val="uk-UA"/>
        </w:rPr>
        <w:t>Тарабара</w:t>
      </w:r>
      <w:proofErr w:type="spellEnd"/>
      <w:r w:rsidRPr="00C06DF0">
        <w:rPr>
          <w:rFonts w:ascii="Times New Roman" w:hAnsi="Times New Roman" w:cs="Times New Roman"/>
          <w:i/>
          <w:lang w:val="uk-UA"/>
        </w:rPr>
        <w:t xml:space="preserve"> У.К (науковий керівник – проф. </w:t>
      </w:r>
      <w:proofErr w:type="spellStart"/>
      <w:r w:rsidRPr="00C06DF0">
        <w:rPr>
          <w:rFonts w:ascii="Times New Roman" w:hAnsi="Times New Roman" w:cs="Times New Roman"/>
          <w:i/>
          <w:lang w:val="uk-UA"/>
        </w:rPr>
        <w:t>Трусова</w:t>
      </w:r>
      <w:proofErr w:type="spellEnd"/>
      <w:r w:rsidRPr="00C06DF0">
        <w:rPr>
          <w:rFonts w:ascii="Times New Roman" w:hAnsi="Times New Roman" w:cs="Times New Roman"/>
          <w:i/>
          <w:lang w:val="uk-UA"/>
        </w:rPr>
        <w:t xml:space="preserve"> В.М.)</w:t>
      </w:r>
    </w:p>
    <w:p w:rsidR="00C06DF0" w:rsidRDefault="00C06DF0" w:rsidP="00766305">
      <w:pPr>
        <w:tabs>
          <w:tab w:val="left" w:pos="0"/>
          <w:tab w:val="left" w:pos="8647"/>
        </w:tabs>
        <w:spacing w:after="0" w:line="240" w:lineRule="auto"/>
        <w:ind w:left="284" w:right="-284" w:firstLine="283"/>
        <w:jc w:val="both"/>
        <w:rPr>
          <w:rFonts w:ascii="Times New Roman" w:hAnsi="Times New Roman"/>
          <w:sz w:val="24"/>
          <w:szCs w:val="24"/>
          <w:highlight w:val="cyan"/>
          <w:lang w:val="en-US"/>
        </w:rPr>
      </w:pPr>
    </w:p>
    <w:p w:rsidR="00C06DF0" w:rsidRPr="001D72F1" w:rsidRDefault="00C06DF0" w:rsidP="00C07030">
      <w:pPr>
        <w:tabs>
          <w:tab w:val="left" w:pos="284"/>
          <w:tab w:val="left" w:pos="8647"/>
        </w:tabs>
        <w:spacing w:after="0" w:line="240" w:lineRule="auto"/>
        <w:ind w:left="284" w:right="-284" w:firstLine="283"/>
        <w:jc w:val="both"/>
        <w:rPr>
          <w:rFonts w:ascii="Times New Roman" w:hAnsi="Times New Roman"/>
          <w:sz w:val="24"/>
          <w:szCs w:val="24"/>
          <w:lang w:val="en-GB"/>
        </w:rPr>
      </w:pPr>
      <w:r w:rsidRPr="001D72F1">
        <w:rPr>
          <w:rFonts w:ascii="Times New Roman" w:hAnsi="Times New Roman"/>
          <w:sz w:val="24"/>
          <w:szCs w:val="24"/>
          <w:lang w:val="en-US"/>
        </w:rPr>
        <w:t xml:space="preserve">The accumulation of the highly ordered protein aggregates, amyloid fibrils, in various tissues and organs is associated with a variety of human diseases, including Alzheimer’s, Parkinson’s disease, systemic amyloidosis, type II diabetes, etc. </w:t>
      </w:r>
      <w:r w:rsidR="00C07030" w:rsidRPr="001D72F1">
        <w:rPr>
          <w:rFonts w:ascii="Times New Roman" w:hAnsi="Times New Roman" w:cs="Times New Roman"/>
          <w:sz w:val="24"/>
          <w:szCs w:val="24"/>
          <w:lang w:val="en-US"/>
        </w:rPr>
        <w:t xml:space="preserve">These </w:t>
      </w:r>
      <w:r w:rsidR="00766305" w:rsidRPr="001D72F1">
        <w:rPr>
          <w:rFonts w:ascii="Times New Roman" w:hAnsi="Times New Roman" w:cs="Times New Roman"/>
          <w:sz w:val="24"/>
          <w:szCs w:val="24"/>
          <w:lang w:val="en-US"/>
        </w:rPr>
        <w:t xml:space="preserve">diseases are caused by protein </w:t>
      </w:r>
      <w:proofErr w:type="spellStart"/>
      <w:proofErr w:type="gramStart"/>
      <w:r w:rsidR="00766305" w:rsidRPr="001D72F1">
        <w:rPr>
          <w:rFonts w:ascii="Times New Roman" w:hAnsi="Times New Roman" w:cs="Times New Roman"/>
          <w:sz w:val="24"/>
          <w:szCs w:val="24"/>
          <w:lang w:val="en-US"/>
        </w:rPr>
        <w:t>misfolding</w:t>
      </w:r>
      <w:proofErr w:type="spellEnd"/>
      <w:r w:rsidR="00766305" w:rsidRPr="001D72F1">
        <w:rPr>
          <w:rFonts w:ascii="Times New Roman" w:hAnsi="Times New Roman" w:cs="Times New Roman"/>
          <w:sz w:val="24"/>
          <w:szCs w:val="24"/>
          <w:lang w:val="en-US"/>
        </w:rPr>
        <w:t xml:space="preserve"> and occur because the partially</w:t>
      </w:r>
      <w:r w:rsidR="00766305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66305" w:rsidRPr="001D72F1">
        <w:rPr>
          <w:rFonts w:ascii="Times New Roman" w:hAnsi="Times New Roman" w:cs="Times New Roman"/>
          <w:sz w:val="24"/>
          <w:szCs w:val="24"/>
          <w:lang w:val="en-US"/>
        </w:rPr>
        <w:t>folded intermediates</w:t>
      </w:r>
      <w:r w:rsidR="00766305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leave pathway of native folding</w:t>
      </w:r>
      <w:proofErr w:type="gramEnd"/>
      <w:r w:rsidR="00766305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and self-assemble in</w:t>
      </w:r>
      <w:r w:rsidR="00766305" w:rsidRPr="001D72F1">
        <w:rPr>
          <w:rFonts w:ascii="Times New Roman" w:hAnsi="Times New Roman" w:cs="Times New Roman"/>
          <w:sz w:val="24"/>
          <w:szCs w:val="24"/>
          <w:lang w:val="en-US"/>
        </w:rPr>
        <w:t xml:space="preserve"> β-stranded amyloid fibrils</w:t>
      </w:r>
      <w:r w:rsidR="00766305" w:rsidRPr="001D72F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D72F1">
        <w:rPr>
          <w:rFonts w:ascii="Times New Roman" w:hAnsi="Times New Roman"/>
          <w:sz w:val="24"/>
          <w:szCs w:val="24"/>
          <w:lang w:val="en-US"/>
        </w:rPr>
        <w:t xml:space="preserve">One of the most powerful approaches to the detection of amyloid fibrils involves the use of fluorescent dyes. Extensive research efforts </w:t>
      </w:r>
      <w:proofErr w:type="gramStart"/>
      <w:r w:rsidRPr="001D72F1">
        <w:rPr>
          <w:rFonts w:ascii="Times New Roman" w:hAnsi="Times New Roman"/>
          <w:sz w:val="24"/>
          <w:szCs w:val="24"/>
          <w:lang w:val="en-US"/>
        </w:rPr>
        <w:t>are currently focused</w:t>
      </w:r>
      <w:proofErr w:type="gramEnd"/>
      <w:r w:rsidRPr="001D72F1">
        <w:rPr>
          <w:rFonts w:ascii="Times New Roman" w:hAnsi="Times New Roman"/>
          <w:sz w:val="24"/>
          <w:szCs w:val="24"/>
          <w:lang w:val="en-US"/>
        </w:rPr>
        <w:t xml:space="preserve"> on looking for the effective amyloid-specific </w:t>
      </w:r>
      <w:proofErr w:type="spellStart"/>
      <w:r w:rsidRPr="001D72F1">
        <w:rPr>
          <w:rFonts w:ascii="Times New Roman" w:hAnsi="Times New Roman"/>
          <w:sz w:val="24"/>
          <w:szCs w:val="24"/>
          <w:lang w:val="en-US"/>
        </w:rPr>
        <w:t>flurophores</w:t>
      </w:r>
      <w:proofErr w:type="spellEnd"/>
      <w:r w:rsidRPr="001D72F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="00C07030" w:rsidRPr="001D72F1">
        <w:rPr>
          <w:rFonts w:ascii="Times New Roman" w:hAnsi="Times New Roman"/>
          <w:sz w:val="24"/>
          <w:szCs w:val="24"/>
          <w:lang w:val="en-US"/>
        </w:rPr>
        <w:t>T</w:t>
      </w:r>
      <w:r w:rsidR="001B3E9D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goal of the present study was twofold: 1) </w:t>
      </w:r>
      <w:r w:rsidR="00B668D3" w:rsidRPr="001D72F1">
        <w:rPr>
          <w:rFonts w:ascii="Times New Roman" w:hAnsi="Times New Roman"/>
          <w:sz w:val="24"/>
          <w:szCs w:val="24"/>
          <w:lang w:val="en-GB"/>
        </w:rPr>
        <w:t xml:space="preserve">to assess the amyloid-sensing propensity of the two newly synthesized near-infrared cyanine </w:t>
      </w:r>
      <w:proofErr w:type="spellStart"/>
      <w:r w:rsidR="00B668D3" w:rsidRPr="001D72F1">
        <w:rPr>
          <w:rFonts w:ascii="Times New Roman" w:hAnsi="Times New Roman"/>
          <w:sz w:val="24"/>
          <w:szCs w:val="24"/>
          <w:lang w:val="en-GB"/>
        </w:rPr>
        <w:t>hep</w:t>
      </w:r>
      <w:r w:rsidR="00C07030" w:rsidRPr="001D72F1">
        <w:rPr>
          <w:rFonts w:ascii="Times New Roman" w:hAnsi="Times New Roman"/>
          <w:sz w:val="24"/>
          <w:szCs w:val="24"/>
          <w:lang w:val="en-GB"/>
        </w:rPr>
        <w:t>tamethine</w:t>
      </w:r>
      <w:proofErr w:type="spellEnd"/>
      <w:r w:rsidR="00C07030" w:rsidRPr="001D72F1">
        <w:rPr>
          <w:rFonts w:ascii="Times New Roman" w:hAnsi="Times New Roman"/>
          <w:sz w:val="24"/>
          <w:szCs w:val="24"/>
          <w:lang w:val="en-GB"/>
        </w:rPr>
        <w:t xml:space="preserve"> dyes, AK7-5 and AK7-6 through comparing</w:t>
      </w:r>
      <w:r w:rsidR="00B668D3" w:rsidRPr="001D72F1">
        <w:rPr>
          <w:rFonts w:ascii="Times New Roman" w:hAnsi="Times New Roman"/>
          <w:sz w:val="24"/>
          <w:szCs w:val="24"/>
          <w:lang w:val="en-GB"/>
        </w:rPr>
        <w:t xml:space="preserve"> the flu</w:t>
      </w:r>
      <w:r w:rsidR="00C07030" w:rsidRPr="001D72F1">
        <w:rPr>
          <w:rFonts w:ascii="Times New Roman" w:hAnsi="Times New Roman"/>
          <w:sz w:val="24"/>
          <w:szCs w:val="24"/>
          <w:lang w:val="en-GB"/>
        </w:rPr>
        <w:t>orescence responses of these</w:t>
      </w:r>
      <w:r w:rsidR="00B668D3" w:rsidRPr="001D72F1">
        <w:rPr>
          <w:rFonts w:ascii="Times New Roman" w:hAnsi="Times New Roman"/>
          <w:sz w:val="24"/>
          <w:szCs w:val="24"/>
          <w:lang w:val="en-GB"/>
        </w:rPr>
        <w:t xml:space="preserve"> dyes in the presence of th</w:t>
      </w:r>
      <w:r w:rsidR="00C07030" w:rsidRPr="001D72F1">
        <w:rPr>
          <w:rFonts w:ascii="Times New Roman" w:hAnsi="Times New Roman"/>
          <w:sz w:val="24"/>
          <w:szCs w:val="24"/>
          <w:lang w:val="en-GB"/>
        </w:rPr>
        <w:t xml:space="preserve">e native and </w:t>
      </w:r>
      <w:proofErr w:type="spellStart"/>
      <w:r w:rsidR="00C07030" w:rsidRPr="001D72F1">
        <w:rPr>
          <w:rFonts w:ascii="Times New Roman" w:hAnsi="Times New Roman"/>
          <w:sz w:val="24"/>
          <w:szCs w:val="24"/>
          <w:lang w:val="en-GB"/>
        </w:rPr>
        <w:t>fibrillar</w:t>
      </w:r>
      <w:proofErr w:type="spellEnd"/>
      <w:r w:rsidR="00C07030" w:rsidRPr="001D72F1">
        <w:rPr>
          <w:rFonts w:ascii="Times New Roman" w:hAnsi="Times New Roman"/>
          <w:sz w:val="24"/>
          <w:szCs w:val="24"/>
          <w:lang w:val="en-GB"/>
        </w:rPr>
        <w:t xml:space="preserve"> lysozyme; 2) </w:t>
      </w:r>
      <w:r w:rsidR="00B668D3" w:rsidRPr="001D72F1">
        <w:rPr>
          <w:rFonts w:ascii="Times New Roman" w:hAnsi="Times New Roman" w:cs="Times New Roman"/>
          <w:sz w:val="24"/>
          <w:szCs w:val="24"/>
          <w:lang w:val="en-GB"/>
        </w:rPr>
        <w:t>to gain insight into the role of mutations in t</w:t>
      </w:r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proofErr w:type="spellStart"/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>amyloidogenesis</w:t>
      </w:r>
      <w:proofErr w:type="spellEnd"/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of lysozyme using the molecular dynamics simulation.</w:t>
      </w:r>
      <w:proofErr w:type="gramEnd"/>
      <w:r w:rsidR="00C07030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Lysozyme is a </w:t>
      </w:r>
      <w:r w:rsidR="00B668D3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multifunctional protein with bactericidal, antitumor and </w:t>
      </w:r>
      <w:proofErr w:type="spellStart"/>
      <w:r w:rsidR="00B668D3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immu</w:t>
      </w:r>
      <w:r w:rsidR="00C07030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nomodulatory</w:t>
      </w:r>
      <w:proofErr w:type="spellEnd"/>
      <w:r w:rsidR="00C07030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activities, whose amyloid formation is related to hereditary s</w:t>
      </w:r>
      <w:r w:rsidR="001D72F1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ystemic </w:t>
      </w:r>
      <w:proofErr w:type="spellStart"/>
      <w:r w:rsidR="001D72F1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nonneuropathic</w:t>
      </w:r>
      <w:proofErr w:type="spellEnd"/>
      <w:r w:rsidR="001D72F1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C07030"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amyloidosis.</w:t>
      </w:r>
    </w:p>
    <w:p w:rsidR="00666365" w:rsidRPr="001D72F1" w:rsidRDefault="00C06DF0" w:rsidP="00666365">
      <w:pPr>
        <w:tabs>
          <w:tab w:val="left" w:pos="0"/>
          <w:tab w:val="left" w:pos="8647"/>
        </w:tabs>
        <w:spacing w:after="0" w:line="240" w:lineRule="auto"/>
        <w:ind w:left="284" w:right="-284" w:firstLine="283"/>
        <w:jc w:val="both"/>
        <w:rPr>
          <w:rFonts w:ascii="Times New Roman" w:hAnsi="Times New Roman"/>
          <w:sz w:val="24"/>
          <w:szCs w:val="24"/>
          <w:lang w:val="en-US"/>
        </w:rPr>
      </w:pPr>
      <w:r w:rsidRPr="001D72F1">
        <w:rPr>
          <w:rFonts w:ascii="Times New Roman" w:hAnsi="Times New Roman"/>
          <w:sz w:val="24"/>
          <w:szCs w:val="24"/>
          <w:lang w:val="en-GB"/>
        </w:rPr>
        <w:t>In an organic solvent</w:t>
      </w:r>
      <w:r w:rsidR="00630353" w:rsidRPr="001D72F1">
        <w:rPr>
          <w:rFonts w:ascii="Times New Roman" w:hAnsi="Times New Roman"/>
          <w:sz w:val="24"/>
          <w:szCs w:val="24"/>
          <w:lang w:val="en-GB"/>
        </w:rPr>
        <w:t xml:space="preserve"> and in </w:t>
      </w:r>
      <w:r w:rsidR="00630353" w:rsidRPr="001D72F1">
        <w:rPr>
          <w:rFonts w:ascii="Times New Roman" w:hAnsi="Times New Roman"/>
          <w:sz w:val="24"/>
          <w:szCs w:val="24"/>
          <w:lang w:val="en-US"/>
        </w:rPr>
        <w:t>the sodium-phosphate buffer</w:t>
      </w:r>
      <w:r w:rsidR="001D72F1" w:rsidRPr="001D72F1">
        <w:rPr>
          <w:rFonts w:ascii="Times New Roman" w:hAnsi="Times New Roman"/>
          <w:sz w:val="24"/>
          <w:szCs w:val="24"/>
          <w:lang w:val="en-US"/>
        </w:rPr>
        <w:t xml:space="preserve"> (pH 7.4)</w:t>
      </w:r>
      <w:r w:rsidR="00630353" w:rsidRPr="001D72F1">
        <w:rPr>
          <w:rFonts w:ascii="Times New Roman" w:hAnsi="Times New Roman"/>
          <w:sz w:val="24"/>
          <w:szCs w:val="24"/>
          <w:lang w:val="en-US"/>
        </w:rPr>
        <w:t xml:space="preserve"> the examined dyes have the emission maxima at 835/839 nm for</w:t>
      </w:r>
      <w:r w:rsidR="00630353" w:rsidRPr="001D72F1">
        <w:rPr>
          <w:rFonts w:ascii="Times New Roman" w:hAnsi="Times New Roman"/>
          <w:bCs/>
          <w:iCs/>
          <w:sz w:val="24"/>
          <w:szCs w:val="24"/>
          <w:lang w:val="en-US"/>
        </w:rPr>
        <w:t xml:space="preserve"> AK7-5/AK7-6, respectively</w:t>
      </w:r>
      <w:r w:rsidR="00F10DDE" w:rsidRPr="001D72F1">
        <w:rPr>
          <w:rFonts w:ascii="Times New Roman" w:hAnsi="Times New Roman"/>
          <w:bCs/>
          <w:iCs/>
          <w:sz w:val="24"/>
          <w:szCs w:val="24"/>
          <w:lang w:val="en-US"/>
        </w:rPr>
        <w:t xml:space="preserve"> (monomeric band)</w:t>
      </w:r>
      <w:r w:rsidR="00630353" w:rsidRPr="001D72F1">
        <w:rPr>
          <w:rFonts w:ascii="Times New Roman" w:hAnsi="Times New Roman"/>
          <w:bCs/>
          <w:iCs/>
          <w:sz w:val="24"/>
          <w:szCs w:val="24"/>
          <w:lang w:val="en-US"/>
        </w:rPr>
        <w:t xml:space="preserve">. In the presence of the native </w:t>
      </w:r>
      <w:proofErr w:type="gramStart"/>
      <w:r w:rsidR="00630353" w:rsidRPr="001D72F1">
        <w:rPr>
          <w:rFonts w:ascii="Times New Roman" w:hAnsi="Times New Roman"/>
          <w:bCs/>
          <w:iCs/>
          <w:sz w:val="24"/>
          <w:szCs w:val="24"/>
          <w:lang w:val="en-US"/>
        </w:rPr>
        <w:t>lysozyme</w:t>
      </w:r>
      <w:proofErr w:type="gramEnd"/>
      <w:r w:rsidR="00630353" w:rsidRPr="001D72F1">
        <w:rPr>
          <w:rFonts w:ascii="Times New Roman" w:hAnsi="Times New Roman"/>
          <w:bCs/>
          <w:iCs/>
          <w:sz w:val="24"/>
          <w:szCs w:val="24"/>
          <w:lang w:val="en-US"/>
        </w:rPr>
        <w:t xml:space="preserve"> we observed the </w:t>
      </w:r>
      <w:r w:rsidR="00630353" w:rsidRPr="001D72F1">
        <w:rPr>
          <w:rFonts w:ascii="Times New Roman" w:hAnsi="Times New Roman"/>
          <w:sz w:val="24"/>
          <w:szCs w:val="24"/>
          <w:lang w:val="en-US"/>
        </w:rPr>
        <w:t xml:space="preserve">appearance of </w:t>
      </w:r>
      <w:proofErr w:type="spellStart"/>
      <w:r w:rsidR="00630353" w:rsidRPr="001D72F1">
        <w:rPr>
          <w:rFonts w:ascii="Times New Roman" w:hAnsi="Times New Roman"/>
          <w:sz w:val="24"/>
          <w:szCs w:val="24"/>
          <w:lang w:val="en-US"/>
        </w:rPr>
        <w:t>hypsochromic</w:t>
      </w:r>
      <w:proofErr w:type="spellEnd"/>
      <w:r w:rsidR="00630353" w:rsidRPr="001D72F1">
        <w:rPr>
          <w:rFonts w:ascii="Times New Roman" w:hAnsi="Times New Roman"/>
          <w:sz w:val="24"/>
          <w:szCs w:val="24"/>
          <w:lang w:val="en-US"/>
        </w:rPr>
        <w:t xml:space="preserve"> band at 700 nm, whose intensity increased with the protein concentration.</w:t>
      </w:r>
      <w:r w:rsidR="00F10DDE" w:rsidRPr="001D72F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D72F1">
        <w:rPr>
          <w:rFonts w:ascii="Times New Roman" w:hAnsi="Times New Roman"/>
          <w:sz w:val="24"/>
          <w:szCs w:val="24"/>
          <w:lang w:val="en-US"/>
        </w:rPr>
        <w:t xml:space="preserve">In the presence of lysozyme fibrils, both </w:t>
      </w:r>
      <w:proofErr w:type="spellStart"/>
      <w:r w:rsidRPr="001D72F1">
        <w:rPr>
          <w:rFonts w:ascii="Times New Roman" w:hAnsi="Times New Roman"/>
          <w:sz w:val="24"/>
          <w:szCs w:val="24"/>
          <w:lang w:val="en-US"/>
        </w:rPr>
        <w:t>heptamethine</w:t>
      </w:r>
      <w:proofErr w:type="spellEnd"/>
      <w:r w:rsidRPr="001D72F1">
        <w:rPr>
          <w:rFonts w:ascii="Times New Roman" w:hAnsi="Times New Roman"/>
          <w:sz w:val="24"/>
          <w:szCs w:val="24"/>
          <w:lang w:val="en-US"/>
        </w:rPr>
        <w:t xml:space="preserve"> dyes demonstrated significant rise of </w:t>
      </w:r>
      <w:r w:rsidR="001D72F1" w:rsidRPr="001D72F1"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1D72F1">
        <w:rPr>
          <w:rFonts w:ascii="Times New Roman" w:hAnsi="Times New Roman"/>
          <w:sz w:val="24"/>
          <w:szCs w:val="24"/>
          <w:lang w:val="en-US"/>
        </w:rPr>
        <w:t>monomeric bands (by a factor of 4.5/3 for AK7-5/AK7-6, respectively)</w:t>
      </w:r>
      <w:r w:rsidR="00F10DDE" w:rsidRPr="001D72F1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1D72F1" w:rsidRPr="001D72F1">
        <w:rPr>
          <w:rFonts w:ascii="Times New Roman" w:hAnsi="Times New Roman"/>
          <w:sz w:val="24"/>
          <w:szCs w:val="24"/>
          <w:lang w:val="en-US"/>
        </w:rPr>
        <w:t>These</w:t>
      </w:r>
      <w:r w:rsidR="00F10DDE" w:rsidRPr="001D72F1">
        <w:rPr>
          <w:rFonts w:ascii="Times New Roman" w:hAnsi="Times New Roman"/>
          <w:sz w:val="24"/>
          <w:szCs w:val="24"/>
          <w:lang w:val="en-US"/>
        </w:rPr>
        <w:t xml:space="preserve"> results </w:t>
      </w:r>
      <w:r w:rsidRPr="001D72F1">
        <w:rPr>
          <w:rFonts w:ascii="Times New Roman" w:hAnsi="Times New Roman"/>
          <w:sz w:val="24"/>
          <w:szCs w:val="24"/>
          <w:lang w:val="en-US"/>
        </w:rPr>
        <w:t xml:space="preserve">suggest that the native lysozyme has more binding sites for the dye aggregates than </w:t>
      </w:r>
      <w:proofErr w:type="spellStart"/>
      <w:r w:rsidRPr="001D72F1">
        <w:rPr>
          <w:rFonts w:ascii="Times New Roman" w:hAnsi="Times New Roman"/>
          <w:sz w:val="24"/>
          <w:szCs w:val="24"/>
          <w:lang w:val="en-US"/>
        </w:rPr>
        <w:t>fibrillar</w:t>
      </w:r>
      <w:proofErr w:type="spellEnd"/>
      <w:r w:rsidRPr="001D72F1">
        <w:rPr>
          <w:rFonts w:ascii="Times New Roman" w:hAnsi="Times New Roman"/>
          <w:sz w:val="24"/>
          <w:szCs w:val="24"/>
          <w:lang w:val="en-US"/>
        </w:rPr>
        <w:t xml:space="preserve"> lysozyme, while the fibril grooves represent specific binding site for the dyes monomers. </w:t>
      </w:r>
    </w:p>
    <w:p w:rsidR="00B668D3" w:rsidRPr="009248D5" w:rsidRDefault="00B668D3" w:rsidP="007C3599">
      <w:pPr>
        <w:tabs>
          <w:tab w:val="left" w:pos="0"/>
          <w:tab w:val="left" w:pos="8647"/>
        </w:tabs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To understand the conformational </w:t>
      </w:r>
      <w:proofErr w:type="spellStart"/>
      <w:r w:rsidRPr="001D72F1">
        <w:rPr>
          <w:rFonts w:ascii="Times New Roman" w:hAnsi="Times New Roman" w:cs="Times New Roman"/>
          <w:sz w:val="24"/>
          <w:szCs w:val="24"/>
          <w:lang w:val="en-GB"/>
        </w:rPr>
        <w:t>behavior</w:t>
      </w:r>
      <w:proofErr w:type="spellEnd"/>
      <w:r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of partially folded lysozyme, we have </w:t>
      </w:r>
      <w:r w:rsidR="001D72F1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performed 100 ns </w:t>
      </w:r>
      <w:r w:rsidR="007C3599">
        <w:rPr>
          <w:rFonts w:ascii="Times New Roman" w:hAnsi="Times New Roman" w:cs="Times New Roman"/>
          <w:sz w:val="24"/>
          <w:szCs w:val="24"/>
          <w:lang w:val="en-GB"/>
        </w:rPr>
        <w:t xml:space="preserve">molecular </w:t>
      </w:r>
      <w:r w:rsidR="001D72F1" w:rsidRPr="001D72F1">
        <w:rPr>
          <w:rFonts w:ascii="Times New Roman" w:hAnsi="Times New Roman" w:cs="Times New Roman"/>
          <w:sz w:val="24"/>
          <w:szCs w:val="24"/>
          <w:lang w:val="en-GB"/>
        </w:rPr>
        <w:t>dynamic unfolding simulations</w:t>
      </w:r>
      <w:r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of seven lysozyme mutants (</w:t>
      </w:r>
      <w:r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I56T, F57I, W64R, D67H</w:t>
      </w:r>
      <w:r w:rsidRPr="001D72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,</w:t>
      </w:r>
      <w:r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F57I/T70N, EAEA, EAEA-I56T) at high </w:t>
      </w:r>
      <w:r w:rsidR="001D72F1" w:rsidRPr="001D72F1">
        <w:rPr>
          <w:rFonts w:ascii="Times New Roman" w:hAnsi="Times New Roman" w:cs="Times New Roman"/>
          <w:sz w:val="24"/>
          <w:szCs w:val="24"/>
          <w:lang w:val="en-GB"/>
        </w:rPr>
        <w:t>temperatur</w:t>
      </w:r>
      <w:r w:rsidRPr="001D72F1">
        <w:rPr>
          <w:rFonts w:ascii="Times New Roman" w:hAnsi="Times New Roman" w:cs="Times New Roman"/>
          <w:sz w:val="24"/>
          <w:szCs w:val="24"/>
          <w:lang w:val="en-GB"/>
        </w:rPr>
        <w:t>e (500 K)</w:t>
      </w:r>
      <w:r w:rsidR="001D72F1"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 using t</w:t>
      </w:r>
      <w:r w:rsidRPr="001D72F1">
        <w:rPr>
          <w:rFonts w:ascii="Times New Roman" w:hAnsi="Times New Roman" w:cs="Times New Roman"/>
          <w:sz w:val="24"/>
          <w:szCs w:val="24"/>
          <w:lang w:val="en-GB"/>
        </w:rPr>
        <w:t xml:space="preserve">he </w:t>
      </w:r>
      <w:r w:rsidRPr="001D72F1">
        <w:rPr>
          <w:rFonts w:ascii="Times New Roman" w:eastAsia="AdvP641C" w:hAnsi="Times New Roman" w:cs="Times New Roman"/>
          <w:sz w:val="24"/>
          <w:szCs w:val="24"/>
          <w:lang w:val="en-US"/>
        </w:rPr>
        <w:t>GROMACS suite of pr</w:t>
      </w:r>
      <w:r w:rsidR="001D72F1">
        <w:rPr>
          <w:rFonts w:ascii="Times New Roman" w:eastAsia="AdvP641C" w:hAnsi="Times New Roman" w:cs="Times New Roman"/>
          <w:sz w:val="24"/>
          <w:szCs w:val="24"/>
          <w:lang w:val="en-US"/>
        </w:rPr>
        <w:t>ograms and Charmm36 force field</w:t>
      </w:r>
      <w:r w:rsidRPr="001D72F1">
        <w:rPr>
          <w:rFonts w:ascii="Times New Roman" w:eastAsia="AdvP641C" w:hAnsi="Times New Roman" w:cs="Times New Roman"/>
          <w:sz w:val="24"/>
          <w:szCs w:val="24"/>
          <w:lang w:val="en-US"/>
        </w:rPr>
        <w:t>.</w:t>
      </w:r>
      <w:r w:rsidR="0092130F" w:rsidRPr="001D72F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>MD simulation of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WT </w:t>
      </w:r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>lysozyme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at 300 K </w:t>
      </w:r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>showed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that </w:t>
      </w:r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protein 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structure remains </w:t>
      </w:r>
      <w:proofErr w:type="gramStart"/>
      <w:r w:rsidRPr="009248D5">
        <w:rPr>
          <w:rFonts w:ascii="Times New Roman" w:hAnsi="Times New Roman" w:cs="Times New Roman"/>
          <w:sz w:val="24"/>
          <w:szCs w:val="24"/>
          <w:lang w:val="en-GB"/>
        </w:rPr>
        <w:t>st</w:t>
      </w:r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>able,</w:t>
      </w:r>
      <w:proofErr w:type="gramEnd"/>
      <w:r w:rsidR="001D72F1"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the RMSD did not exceed 0.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15 nm,</w:t>
      </w:r>
      <w:r w:rsidRPr="009248D5">
        <w:rPr>
          <w:rFonts w:ascii="Times New Roman" w:hAnsi="Times New Roman" w:cs="Times New Roman"/>
          <w:sz w:val="24"/>
          <w:szCs w:val="24"/>
          <w:lang w:val="en-US"/>
        </w:rPr>
        <w:t xml:space="preserve"> indicating that the force field is reasonable in</w:t>
      </w:r>
      <w:r w:rsidRPr="009248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248D5">
        <w:rPr>
          <w:rFonts w:ascii="Times New Roman" w:hAnsi="Times New Roman" w:cs="Times New Roman"/>
          <w:sz w:val="24"/>
          <w:szCs w:val="24"/>
          <w:lang w:val="en-US"/>
        </w:rPr>
        <w:t>terms of the protein stability</w:t>
      </w:r>
      <w:r w:rsidR="0092130F" w:rsidRPr="009248D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8018F2" w:rsidRPr="009248D5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he 100 ns simulations at 500 K performed for WT protein and mutants </w:t>
      </w:r>
      <w:r w:rsidR="008018F2" w:rsidRPr="009248D5">
        <w:rPr>
          <w:rFonts w:ascii="Times New Roman" w:hAnsi="Times New Roman" w:cs="Times New Roman"/>
          <w:sz w:val="24"/>
          <w:szCs w:val="24"/>
          <w:lang w:val="en-GB"/>
        </w:rPr>
        <w:t>revealed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the destruction of α-helices and β-sheets to coils and turns. The main findings can be summarised as follows: The destruction time of A-D-helices increases in the rows: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>A-helix (residues 5-15): D67H&lt;EAEA&lt;</w:t>
      </w:r>
      <w:r w:rsidRPr="009248D5">
        <w:rPr>
          <w:rFonts w:ascii="Times New Roman" w:hAnsi="Times New Roman" w:cs="Times New Roman"/>
          <w:b/>
          <w:sz w:val="24"/>
          <w:szCs w:val="24"/>
          <w:lang w:val="en-GB"/>
        </w:rPr>
        <w:t>WT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&lt;EAEA-I56T&lt;F57I&lt;I56T&lt;F57I/T70N&lt; W64R;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>B-helix (residues 25-36): F57I/T70N &lt;EAEA&lt;W64R&lt;</w:t>
      </w:r>
      <w:r w:rsidRPr="009248D5">
        <w:rPr>
          <w:rFonts w:ascii="Times New Roman" w:hAnsi="Times New Roman" w:cs="Times New Roman"/>
          <w:b/>
          <w:sz w:val="24"/>
          <w:szCs w:val="24"/>
          <w:lang w:val="en-GB"/>
        </w:rPr>
        <w:t>WT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&lt; EAEA-I56T&lt; F57I&lt; D67H&lt; I56T;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>C-helix (residues 89-100): F57I/T70N&lt; D67H&lt;EAEA&lt; EAEA-I56T&lt;</w:t>
      </w:r>
      <w:r w:rsidRPr="009248D5">
        <w:rPr>
          <w:rFonts w:ascii="Times New Roman" w:hAnsi="Times New Roman" w:cs="Times New Roman"/>
          <w:b/>
          <w:sz w:val="24"/>
          <w:szCs w:val="24"/>
          <w:lang w:val="en-GB"/>
        </w:rPr>
        <w:t>WT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&lt; I56T&lt; F57I&lt; W64R;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D- </w:t>
      </w:r>
      <w:proofErr w:type="gramStart"/>
      <w:r w:rsidRPr="009248D5">
        <w:rPr>
          <w:rFonts w:ascii="Times New Roman" w:hAnsi="Times New Roman" w:cs="Times New Roman"/>
          <w:sz w:val="24"/>
          <w:szCs w:val="24"/>
          <w:lang w:val="en-GB"/>
        </w:rPr>
        <w:t>helix</w:t>
      </w:r>
      <w:proofErr w:type="gramEnd"/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 (residues 110-116): F57I/T70N&lt; D67H, F57I&lt;EAEA&lt; I56T&lt; </w:t>
      </w:r>
      <w:r w:rsidRPr="009248D5">
        <w:rPr>
          <w:rFonts w:ascii="Times New Roman" w:hAnsi="Times New Roman" w:cs="Times New Roman"/>
          <w:b/>
          <w:sz w:val="24"/>
          <w:szCs w:val="24"/>
          <w:lang w:val="en-GB"/>
        </w:rPr>
        <w:t>WT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&lt; EAEA-I56T&lt; W64R.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The stability of the main β-structures (B1-B3) follows the order: </w:t>
      </w:r>
    </w:p>
    <w:p w:rsidR="00B668D3" w:rsidRPr="009248D5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>B1 (residues 43-46): F57I/T70N&lt;EAEA&lt;</w:t>
      </w:r>
      <w:r w:rsidRPr="009248D5">
        <w:rPr>
          <w:rFonts w:ascii="Times New Roman" w:hAnsi="Times New Roman" w:cs="Times New Roman"/>
          <w:b/>
          <w:sz w:val="24"/>
          <w:szCs w:val="24"/>
          <w:lang w:val="en-GB"/>
        </w:rPr>
        <w:t>WT</w:t>
      </w:r>
      <w:r w:rsidRPr="009248D5">
        <w:rPr>
          <w:rFonts w:ascii="Times New Roman" w:hAnsi="Times New Roman" w:cs="Times New Roman"/>
          <w:sz w:val="24"/>
          <w:szCs w:val="24"/>
          <w:lang w:val="en-GB"/>
        </w:rPr>
        <w:t>&lt; D67H&lt; W64R &lt; EAEA-I56T, F57I&lt; I56T;</w:t>
      </w:r>
    </w:p>
    <w:p w:rsidR="00B668D3" w:rsidRPr="007C3599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248D5">
        <w:rPr>
          <w:rFonts w:ascii="Times New Roman" w:hAnsi="Times New Roman" w:cs="Times New Roman"/>
          <w:sz w:val="24"/>
          <w:szCs w:val="24"/>
          <w:lang w:val="en-GB"/>
        </w:rPr>
        <w:t xml:space="preserve">B2 (residues 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>51-54): F57I/T70N&lt; EAEA&lt;</w:t>
      </w:r>
      <w:r w:rsidRPr="007C3599">
        <w:rPr>
          <w:rFonts w:ascii="Times New Roman" w:hAnsi="Times New Roman" w:cs="Times New Roman"/>
          <w:b/>
          <w:sz w:val="24"/>
          <w:szCs w:val="24"/>
          <w:lang w:val="en-GB"/>
        </w:rPr>
        <w:t>WT&lt;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W64R &lt; EAEA-I56T&lt; I56T&lt; F57I&lt; D67H;</w:t>
      </w:r>
    </w:p>
    <w:p w:rsidR="00B668D3" w:rsidRPr="007C3599" w:rsidRDefault="00B668D3" w:rsidP="00B668D3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C3599">
        <w:rPr>
          <w:rFonts w:ascii="Times New Roman" w:hAnsi="Times New Roman" w:cs="Times New Roman"/>
          <w:sz w:val="24"/>
          <w:szCs w:val="24"/>
          <w:lang w:val="en-GB"/>
        </w:rPr>
        <w:t>B3 (residues 59-60): F57I/T70N&lt;&lt; EAEA&lt;</w:t>
      </w:r>
      <w:r w:rsidRPr="007C3599">
        <w:rPr>
          <w:rFonts w:ascii="Times New Roman" w:hAnsi="Times New Roman" w:cs="Times New Roman"/>
          <w:b/>
          <w:sz w:val="24"/>
          <w:szCs w:val="24"/>
          <w:lang w:val="en-GB"/>
        </w:rPr>
        <w:t>WT&lt;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EAEA-I56T&lt; I56T, W64R&lt; F57I&lt; D67H;</w:t>
      </w:r>
    </w:p>
    <w:p w:rsidR="007C3599" w:rsidRPr="007C3599" w:rsidRDefault="001073C1" w:rsidP="0092130F">
      <w:pPr>
        <w:autoSpaceDE w:val="0"/>
        <w:autoSpaceDN w:val="0"/>
        <w:adjustRightInd w:val="0"/>
        <w:spacing w:after="0" w:line="240" w:lineRule="auto"/>
        <w:ind w:left="284" w:right="-284" w:firstLine="283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In summary, it </w:t>
      </w:r>
      <w:proofErr w:type="gramStart"/>
      <w:r w:rsidRPr="007C3599">
        <w:rPr>
          <w:rFonts w:ascii="Times New Roman" w:hAnsi="Times New Roman" w:cs="Times New Roman"/>
          <w:sz w:val="24"/>
          <w:szCs w:val="24"/>
          <w:lang w:val="en-GB"/>
        </w:rPr>
        <w:t>can be concluded</w:t>
      </w:r>
      <w:proofErr w:type="gramEnd"/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that</w:t>
      </w:r>
      <w:r w:rsidR="007C3599" w:rsidRPr="007C3599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7C3599" w:rsidRPr="007C3599" w:rsidRDefault="007C3599" w:rsidP="007C359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C3599">
        <w:rPr>
          <w:rFonts w:ascii="Times New Roman" w:hAnsi="Times New Roman"/>
          <w:sz w:val="24"/>
          <w:szCs w:val="24"/>
          <w:lang w:val="en-GB"/>
        </w:rPr>
        <w:t>T</w:t>
      </w:r>
      <w:r w:rsidRPr="007C3599">
        <w:rPr>
          <w:rFonts w:ascii="Times New Roman" w:hAnsi="Times New Roman"/>
          <w:sz w:val="24"/>
          <w:szCs w:val="24"/>
          <w:lang w:val="en-US"/>
        </w:rPr>
        <w:t xml:space="preserve">he revealed spectral behavior of the cyanine dyes, viz. significant distinctions in the fluorescence spectra in the presence of monomeric and </w:t>
      </w:r>
      <w:proofErr w:type="spellStart"/>
      <w:r w:rsidRPr="007C3599">
        <w:rPr>
          <w:rFonts w:ascii="Times New Roman" w:hAnsi="Times New Roman"/>
          <w:sz w:val="24"/>
          <w:szCs w:val="24"/>
          <w:lang w:val="en-US"/>
        </w:rPr>
        <w:t>fibrillar</w:t>
      </w:r>
      <w:proofErr w:type="spellEnd"/>
      <w:r w:rsidRPr="007C3599">
        <w:rPr>
          <w:rFonts w:ascii="Times New Roman" w:hAnsi="Times New Roman"/>
          <w:sz w:val="24"/>
          <w:szCs w:val="24"/>
          <w:lang w:val="en-US"/>
        </w:rPr>
        <w:t xml:space="preserve"> forms of lysozyme, point to the possibility of </w:t>
      </w:r>
      <w:r w:rsidRPr="007C3599">
        <w:rPr>
          <w:rFonts w:ascii="Times New Roman" w:hAnsi="Times New Roman"/>
          <w:sz w:val="24"/>
          <w:szCs w:val="24"/>
          <w:lang w:val="en-GB"/>
        </w:rPr>
        <w:t xml:space="preserve">using these molecules as fluorescent amyloid markers along with the classical amyloid marker </w:t>
      </w:r>
      <w:proofErr w:type="spellStart"/>
      <w:r w:rsidRPr="007C3599">
        <w:rPr>
          <w:rFonts w:ascii="Times New Roman" w:hAnsi="Times New Roman"/>
          <w:sz w:val="24"/>
          <w:szCs w:val="24"/>
          <w:lang w:val="en-GB"/>
        </w:rPr>
        <w:t>Thioflavin</w:t>
      </w:r>
      <w:proofErr w:type="spellEnd"/>
      <w:r w:rsidRPr="007C3599">
        <w:rPr>
          <w:rFonts w:ascii="Times New Roman" w:hAnsi="Times New Roman"/>
          <w:sz w:val="24"/>
          <w:szCs w:val="24"/>
          <w:lang w:val="en-GB"/>
        </w:rPr>
        <w:t xml:space="preserve"> T.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7C3599" w:rsidRPr="007C3599" w:rsidRDefault="007C3599" w:rsidP="007C359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C3599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he β-sheets of the examined 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lysozyme 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>mutants show higher stability than those of WT protein, exc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>ept F57I/T70N and EAEA variants;</w:t>
      </w:r>
    </w:p>
    <w:p w:rsidR="007C3599" w:rsidRPr="007C3599" w:rsidRDefault="007C3599" w:rsidP="007C359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C3599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>he extent of β-sheet formation during the simulation was simi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>lar for WT and mutated proteins, suggesting that stability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provides a basis for hypothesis that stability of original β-structures of lysozyme plays an important role in 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>its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transition </w:t>
      </w:r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into </w:t>
      </w:r>
      <w:proofErr w:type="spellStart"/>
      <w:r w:rsidRPr="007C3599">
        <w:rPr>
          <w:rFonts w:ascii="Times New Roman" w:hAnsi="Times New Roman" w:cs="Times New Roman"/>
          <w:sz w:val="24"/>
          <w:szCs w:val="24"/>
          <w:lang w:val="en-GB"/>
        </w:rPr>
        <w:t>amyloidogenic</w:t>
      </w:r>
      <w:proofErr w:type="spellEnd"/>
      <w:r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 state</w:t>
      </w:r>
      <w:r w:rsidR="001073C1" w:rsidRPr="007C359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bookmarkStart w:id="0" w:name="_GoBack"/>
      <w:bookmarkEnd w:id="0"/>
    </w:p>
    <w:sectPr w:rsidR="007C3599" w:rsidRPr="007C3599" w:rsidSect="00745278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dvP641C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BB9"/>
    <w:multiLevelType w:val="hybridMultilevel"/>
    <w:tmpl w:val="730C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C1C46"/>
    <w:multiLevelType w:val="hybridMultilevel"/>
    <w:tmpl w:val="66F2AF3E"/>
    <w:lvl w:ilvl="0" w:tplc="7B7823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04"/>
    <w:rsid w:val="001073C1"/>
    <w:rsid w:val="001B3E9D"/>
    <w:rsid w:val="001D72F1"/>
    <w:rsid w:val="0039696A"/>
    <w:rsid w:val="004A33C6"/>
    <w:rsid w:val="005F1004"/>
    <w:rsid w:val="00630353"/>
    <w:rsid w:val="00666365"/>
    <w:rsid w:val="00745278"/>
    <w:rsid w:val="00766305"/>
    <w:rsid w:val="007767FB"/>
    <w:rsid w:val="007C3599"/>
    <w:rsid w:val="008018F2"/>
    <w:rsid w:val="008A66B9"/>
    <w:rsid w:val="0092130F"/>
    <w:rsid w:val="009248D5"/>
    <w:rsid w:val="00B668D3"/>
    <w:rsid w:val="00BD0D25"/>
    <w:rsid w:val="00C06DF0"/>
    <w:rsid w:val="00C07030"/>
    <w:rsid w:val="00C072C5"/>
    <w:rsid w:val="00CE53E5"/>
    <w:rsid w:val="00F1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77A0A-B0D9-4CFC-9C16-694F0259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Babuin</dc:creator>
  <cp:keywords/>
  <dc:description/>
  <cp:lastModifiedBy>Babuin</cp:lastModifiedBy>
  <cp:revision>13</cp:revision>
  <dcterms:created xsi:type="dcterms:W3CDTF">2017-11-02T10:19:00Z</dcterms:created>
  <dcterms:modified xsi:type="dcterms:W3CDTF">2017-11-02T13:34:00Z</dcterms:modified>
</cp:coreProperties>
</file>