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1D4" w:rsidRPr="00D93B7B" w:rsidRDefault="00E731D4" w:rsidP="000464E3">
      <w:pPr>
        <w:spacing w:after="0" w:line="240" w:lineRule="auto"/>
        <w:ind w:left="567" w:right="-284" w:firstLine="284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93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Взаємодія </w:t>
      </w:r>
      <w:proofErr w:type="spellStart"/>
      <w:r w:rsidRPr="00D93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фібрилярного</w:t>
      </w:r>
      <w:proofErr w:type="spellEnd"/>
      <w:r w:rsidRPr="00D93B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лізоциму з модельними мембранами</w:t>
      </w:r>
    </w:p>
    <w:p w:rsidR="00906BA9" w:rsidRPr="00D93B7B" w:rsidRDefault="00E731D4" w:rsidP="000464E3">
      <w:pPr>
        <w:spacing w:after="0" w:line="240" w:lineRule="auto"/>
        <w:ind w:left="567" w:right="-284" w:firstLine="284"/>
        <w:jc w:val="center"/>
        <w:rPr>
          <w:rFonts w:ascii="Times New Roman" w:hAnsi="Times New Roman" w:cs="Times New Roman"/>
          <w:i/>
          <w:lang w:val="uk-UA"/>
        </w:rPr>
      </w:pPr>
      <w:proofErr w:type="spellStart"/>
      <w:r w:rsidRPr="00D93B7B">
        <w:rPr>
          <w:rFonts w:ascii="Times New Roman" w:hAnsi="Times New Roman" w:cs="Times New Roman"/>
          <w:i/>
          <w:lang w:val="uk-UA"/>
        </w:rPr>
        <w:t>Михайлюта</w:t>
      </w:r>
      <w:proofErr w:type="spellEnd"/>
      <w:r w:rsidRPr="00D93B7B">
        <w:rPr>
          <w:rFonts w:ascii="Times New Roman" w:hAnsi="Times New Roman" w:cs="Times New Roman"/>
          <w:i/>
          <w:lang w:val="uk-UA"/>
        </w:rPr>
        <w:t xml:space="preserve"> М.С. (науковий керівник – проф. </w:t>
      </w:r>
      <w:proofErr w:type="spellStart"/>
      <w:r w:rsidRPr="00D93B7B">
        <w:rPr>
          <w:rFonts w:ascii="Times New Roman" w:hAnsi="Times New Roman" w:cs="Times New Roman"/>
          <w:i/>
          <w:lang w:val="uk-UA"/>
        </w:rPr>
        <w:t>Трусова</w:t>
      </w:r>
      <w:proofErr w:type="spellEnd"/>
      <w:r w:rsidRPr="00D93B7B">
        <w:rPr>
          <w:rFonts w:ascii="Times New Roman" w:hAnsi="Times New Roman" w:cs="Times New Roman"/>
          <w:i/>
          <w:lang w:val="uk-UA"/>
        </w:rPr>
        <w:t xml:space="preserve"> В.М.)</w:t>
      </w:r>
    </w:p>
    <w:p w:rsidR="00613898" w:rsidRPr="00D93B7B" w:rsidRDefault="00613898" w:rsidP="000464E3">
      <w:pPr>
        <w:spacing w:after="0" w:line="240" w:lineRule="auto"/>
        <w:ind w:left="567" w:right="-284" w:firstLine="284"/>
        <w:jc w:val="center"/>
        <w:rPr>
          <w:sz w:val="24"/>
          <w:szCs w:val="24"/>
          <w:lang w:val="uk-UA"/>
        </w:rPr>
      </w:pPr>
    </w:p>
    <w:p w:rsidR="00A21368" w:rsidRPr="00D93B7B" w:rsidRDefault="004600B5" w:rsidP="004528DC">
      <w:pPr>
        <w:spacing w:after="0" w:line="240" w:lineRule="auto"/>
        <w:ind w:left="567" w:right="-284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Більшість так званих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амілоїдних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захворювань</w:t>
      </w:r>
      <w:r w:rsidR="00613898" w:rsidRPr="00D93B7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3898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до числа яких відносяться </w:t>
      </w:r>
      <w:proofErr w:type="spellStart"/>
      <w:r w:rsidR="00613898" w:rsidRPr="00D93B7B">
        <w:rPr>
          <w:rFonts w:ascii="Times New Roman" w:hAnsi="Times New Roman" w:cs="Times New Roman"/>
          <w:sz w:val="24"/>
          <w:szCs w:val="24"/>
          <w:lang w:val="uk-UA"/>
        </w:rPr>
        <w:t>нейродегенеративні</w:t>
      </w:r>
      <w:proofErr w:type="spellEnd"/>
      <w:r w:rsidR="00613898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хвороби, діабет 2 типу, </w:t>
      </w:r>
      <w:proofErr w:type="spellStart"/>
      <w:r w:rsidR="00613898" w:rsidRPr="00D93B7B">
        <w:rPr>
          <w:rFonts w:ascii="Times New Roman" w:hAnsi="Times New Roman" w:cs="Times New Roman"/>
          <w:sz w:val="24"/>
          <w:szCs w:val="24"/>
          <w:lang w:val="uk-UA"/>
        </w:rPr>
        <w:t>ревматоїдний</w:t>
      </w:r>
      <w:proofErr w:type="spellEnd"/>
      <w:r w:rsidR="00613898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артрит, тощо </w:t>
      </w:r>
      <w:r w:rsidRPr="00D93B7B">
        <w:rPr>
          <w:rFonts w:ascii="Times New Roman" w:hAnsi="Times New Roman" w:cs="Times New Roman"/>
          <w:sz w:val="24"/>
          <w:szCs w:val="24"/>
          <w:lang w:val="uk-UA"/>
        </w:rPr>
        <w:t>виникають в результат</w:t>
      </w:r>
      <w:r w:rsidR="00613898" w:rsidRPr="00D93B7B">
        <w:rPr>
          <w:rFonts w:ascii="Times New Roman" w:hAnsi="Times New Roman" w:cs="Times New Roman"/>
          <w:sz w:val="24"/>
          <w:szCs w:val="24"/>
          <w:lang w:val="uk-UA"/>
        </w:rPr>
        <w:t>і неправильного згортання білка</w:t>
      </w:r>
      <w:r w:rsidRPr="00D93B7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13898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Це пов’язано з формуванням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амілоїдних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фібрил в організмі людини</w:t>
      </w:r>
      <w:r w:rsidR="004750DC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[1,2]</w:t>
      </w:r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. Велика кількість недавніх досліджень засвідчила, що бактерицидні та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амілої</w:t>
      </w:r>
      <w:r w:rsidR="00613898" w:rsidRPr="00D93B7B">
        <w:rPr>
          <w:rFonts w:ascii="Times New Roman" w:hAnsi="Times New Roman" w:cs="Times New Roman"/>
          <w:sz w:val="24"/>
          <w:szCs w:val="24"/>
          <w:lang w:val="uk-UA"/>
        </w:rPr>
        <w:t>догенні</w:t>
      </w:r>
      <w:proofErr w:type="spellEnd"/>
      <w:r w:rsidR="00613898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властивості білка</w:t>
      </w:r>
      <w:r w:rsidR="00CF5341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лізоциму</w:t>
      </w:r>
      <w:r w:rsidR="00613898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залежа</w:t>
      </w:r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ть від його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мембранотропної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дії</w:t>
      </w:r>
      <w:r w:rsidR="00D02B1E" w:rsidRPr="00D93B7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7148" w:rsidRPr="00D93B7B">
        <w:rPr>
          <w:rFonts w:ascii="Times New Roman" w:hAnsi="Times New Roman" w:cs="Times New Roman"/>
          <w:sz w:val="24"/>
          <w:szCs w:val="24"/>
          <w:lang w:val="uk-UA"/>
        </w:rPr>
        <w:t>Це робить особливо</w:t>
      </w:r>
      <w:r w:rsidR="00CA2A13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7148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актуальним </w:t>
      </w:r>
      <w:r w:rsidRPr="00D93B7B">
        <w:rPr>
          <w:rFonts w:ascii="Times New Roman" w:hAnsi="Times New Roman" w:cs="Times New Roman"/>
          <w:sz w:val="24"/>
          <w:szCs w:val="24"/>
          <w:lang w:val="uk-UA"/>
        </w:rPr>
        <w:t>дослід</w:t>
      </w:r>
      <w:r w:rsidR="00BA413C" w:rsidRPr="00D93B7B">
        <w:rPr>
          <w:rFonts w:ascii="Times New Roman" w:hAnsi="Times New Roman" w:cs="Times New Roman"/>
          <w:sz w:val="24"/>
          <w:szCs w:val="24"/>
          <w:lang w:val="uk-UA"/>
        </w:rPr>
        <w:t>ження</w:t>
      </w:r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вплив</w:t>
      </w:r>
      <w:r w:rsidR="00BA413C" w:rsidRPr="00D93B7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фібрилярного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лізоциму на властивості модельних мембран.</w:t>
      </w:r>
      <w:r w:rsidR="001F7148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Саме тому мета </w:t>
      </w:r>
      <w:r w:rsidR="00D02B1E" w:rsidRPr="00D93B7B">
        <w:rPr>
          <w:rFonts w:ascii="Times New Roman" w:hAnsi="Times New Roman" w:cs="Times New Roman"/>
          <w:sz w:val="24"/>
          <w:szCs w:val="24"/>
          <w:lang w:val="uk-UA"/>
        </w:rPr>
        <w:t>даної</w:t>
      </w:r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роботи полягала у з</w:t>
      </w:r>
      <w:r w:rsidR="00D02B1E" w:rsidRPr="00D93B7B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D93B7B">
        <w:rPr>
          <w:rFonts w:ascii="Times New Roman" w:hAnsi="Times New Roman" w:cs="Times New Roman"/>
          <w:sz w:val="24"/>
          <w:szCs w:val="24"/>
          <w:lang w:val="uk-UA"/>
        </w:rPr>
        <w:t>ясуванні молекулярних механізмів утворення комплексів лізоциму з модельними мембранами.</w:t>
      </w:r>
      <w:r w:rsidR="00227B05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600B5" w:rsidRPr="00D93B7B" w:rsidRDefault="00227B05" w:rsidP="004528DC">
      <w:pPr>
        <w:spacing w:after="0" w:line="240" w:lineRule="auto"/>
        <w:ind w:left="567" w:right="-284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93B7B">
        <w:rPr>
          <w:rFonts w:ascii="Times New Roman" w:hAnsi="Times New Roman" w:cs="Times New Roman"/>
          <w:sz w:val="24"/>
          <w:szCs w:val="24"/>
          <w:lang w:val="uk-UA"/>
        </w:rPr>
        <w:t>Об’єктами дослідження</w:t>
      </w:r>
      <w:r w:rsidR="00CF5341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4AE2" w:rsidRPr="00D93B7B">
        <w:rPr>
          <w:rFonts w:ascii="Times New Roman" w:hAnsi="Times New Roman" w:cs="Times New Roman"/>
          <w:sz w:val="24"/>
          <w:szCs w:val="24"/>
          <w:lang w:val="uk-UA"/>
        </w:rPr>
        <w:t>було обрано</w:t>
      </w:r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F5341" w:rsidRPr="00D93B7B">
        <w:rPr>
          <w:rFonts w:ascii="Times New Roman" w:hAnsi="Times New Roman" w:cs="Times New Roman"/>
          <w:sz w:val="24"/>
          <w:szCs w:val="24"/>
          <w:lang w:val="uk-UA"/>
        </w:rPr>
        <w:t>фібрилярна</w:t>
      </w:r>
      <w:proofErr w:type="spellEnd"/>
      <w:r w:rsidR="00CF5341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="00CF5341" w:rsidRPr="00D93B7B">
        <w:rPr>
          <w:rFonts w:ascii="Times New Roman" w:hAnsi="Times New Roman" w:cs="Times New Roman"/>
          <w:sz w:val="24"/>
          <w:szCs w:val="24"/>
          <w:lang w:val="uk-UA"/>
        </w:rPr>
        <w:t>нативна</w:t>
      </w:r>
      <w:proofErr w:type="spellEnd"/>
      <w:r w:rsidR="00CF5341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форми білка лізоциму</w:t>
      </w:r>
      <w:r w:rsidR="00C523BF" w:rsidRPr="00D93B7B">
        <w:rPr>
          <w:rFonts w:ascii="Times New Roman" w:hAnsi="Times New Roman" w:cs="Times New Roman"/>
          <w:sz w:val="24"/>
          <w:szCs w:val="24"/>
          <w:lang w:val="uk-UA"/>
        </w:rPr>
        <w:t>. В</w:t>
      </w:r>
      <w:r w:rsidR="00CF5341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23BF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якості модельних мембран </w:t>
      </w:r>
      <w:r w:rsidR="00D54AE2" w:rsidRPr="00D93B7B">
        <w:rPr>
          <w:rFonts w:ascii="Times New Roman" w:hAnsi="Times New Roman" w:cs="Times New Roman"/>
          <w:sz w:val="24"/>
          <w:szCs w:val="24"/>
          <w:lang w:val="uk-UA"/>
        </w:rPr>
        <w:t>використовували</w:t>
      </w:r>
      <w:r w:rsidR="00C523BF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мул</w:t>
      </w:r>
      <w:bookmarkStart w:id="0" w:name="_GoBack"/>
      <w:bookmarkEnd w:id="0"/>
      <w:r w:rsidRPr="00D93B7B">
        <w:rPr>
          <w:rFonts w:ascii="Times New Roman" w:hAnsi="Times New Roman" w:cs="Times New Roman"/>
          <w:sz w:val="24"/>
          <w:szCs w:val="24"/>
          <w:lang w:val="uk-UA"/>
        </w:rPr>
        <w:t>ьтиламелярні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ліпосоми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A5BDA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proofErr w:type="spellStart"/>
      <w:r w:rsidR="005A5BDA" w:rsidRPr="00D93B7B">
        <w:rPr>
          <w:rFonts w:ascii="Times New Roman" w:hAnsi="Times New Roman" w:cs="Times New Roman"/>
          <w:sz w:val="24"/>
          <w:szCs w:val="24"/>
          <w:lang w:val="uk-UA"/>
        </w:rPr>
        <w:t>фосфатидилхоліну</w:t>
      </w:r>
      <w:proofErr w:type="spellEnd"/>
      <w:r w:rsidR="005A5BDA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A21368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молярною часткою аніонного ліпіду </w:t>
      </w:r>
      <w:proofErr w:type="spellStart"/>
      <w:r w:rsidR="00A21368" w:rsidRPr="00D93B7B">
        <w:rPr>
          <w:rFonts w:ascii="Times New Roman" w:hAnsi="Times New Roman" w:cs="Times New Roman"/>
          <w:sz w:val="24"/>
          <w:szCs w:val="24"/>
          <w:lang w:val="uk-UA"/>
        </w:rPr>
        <w:t>кардіоліпіну</w:t>
      </w:r>
      <w:proofErr w:type="spellEnd"/>
      <w:r w:rsidR="00A21368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5% та 20%</w:t>
      </w:r>
      <w:r w:rsidR="005A5BDA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, а також </w:t>
      </w:r>
      <w:proofErr w:type="spellStart"/>
      <w:r w:rsidR="005A5BDA" w:rsidRPr="00D93B7B">
        <w:rPr>
          <w:rFonts w:ascii="Times New Roman" w:hAnsi="Times New Roman" w:cs="Times New Roman"/>
          <w:sz w:val="24"/>
          <w:szCs w:val="24"/>
          <w:lang w:val="uk-UA"/>
        </w:rPr>
        <w:t>ліпосоми</w:t>
      </w:r>
      <w:proofErr w:type="spellEnd"/>
      <w:r w:rsidR="005A5BDA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, що містили 30мол% холестерину та 5 мол% </w:t>
      </w:r>
      <w:proofErr w:type="spellStart"/>
      <w:r w:rsidR="005A5BDA" w:rsidRPr="00D93B7B">
        <w:rPr>
          <w:rFonts w:ascii="Times New Roman" w:hAnsi="Times New Roman" w:cs="Times New Roman"/>
          <w:sz w:val="24"/>
          <w:szCs w:val="24"/>
          <w:lang w:val="uk-UA"/>
        </w:rPr>
        <w:t>кардіоліпіну</w:t>
      </w:r>
      <w:proofErr w:type="spellEnd"/>
      <w:r w:rsidR="00A21368" w:rsidRPr="00D93B7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26697" w:rsidRPr="00D93B7B" w:rsidRDefault="003C35F8" w:rsidP="004528DC">
      <w:pPr>
        <w:spacing w:after="0" w:line="240" w:lineRule="auto"/>
        <w:ind w:left="567" w:right="-284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З використанням методу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мікроелектрофорезу</w:t>
      </w:r>
      <w:proofErr w:type="spellEnd"/>
      <w:r w:rsidR="00F37384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[</w:t>
      </w:r>
      <w:r w:rsidR="004750DC" w:rsidRPr="00D93B7B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37384" w:rsidRPr="00D93B7B">
        <w:rPr>
          <w:rFonts w:ascii="Times New Roman" w:hAnsi="Times New Roman" w:cs="Times New Roman"/>
          <w:sz w:val="24"/>
          <w:szCs w:val="24"/>
          <w:lang w:val="uk-UA"/>
        </w:rPr>
        <w:t>]</w:t>
      </w:r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проведено дослідження впливу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нативного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фібрилярного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лізоциму на електрокінетичні властивості негативно заряджених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мультиламелярних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ліпосом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із нейтрального ліпіду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фосфатидилхоліну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, аніонного ліпіду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кардіоліпіну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та холестерину.</w:t>
      </w:r>
      <w:r w:rsidR="00C0358B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00B5" w:rsidRPr="00D93B7B">
        <w:rPr>
          <w:rFonts w:ascii="Times New Roman" w:hAnsi="Times New Roman" w:cs="Times New Roman"/>
          <w:sz w:val="24"/>
          <w:szCs w:val="24"/>
          <w:lang w:val="uk-UA"/>
        </w:rPr>
        <w:t>При варіюванні молярного співвідношення ліпід:білок (</w:t>
      </w:r>
      <w:proofErr w:type="spellStart"/>
      <w:r w:rsidR="004600B5" w:rsidRPr="00D93B7B">
        <w:rPr>
          <w:rFonts w:ascii="Times New Roman" w:hAnsi="Times New Roman" w:cs="Times New Roman"/>
          <w:sz w:val="24"/>
          <w:szCs w:val="24"/>
          <w:lang w:val="uk-UA"/>
        </w:rPr>
        <w:t>L</w:t>
      </w:r>
      <w:r w:rsidR="004600B5" w:rsidRPr="00D93B7B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out</w:t>
      </w:r>
      <w:proofErr w:type="spellEnd"/>
      <w:r w:rsidR="004600B5" w:rsidRPr="00D93B7B">
        <w:rPr>
          <w:rFonts w:ascii="Times New Roman" w:hAnsi="Times New Roman" w:cs="Times New Roman"/>
          <w:sz w:val="24"/>
          <w:szCs w:val="24"/>
          <w:lang w:val="uk-UA"/>
        </w:rPr>
        <w:t>/P) визначен</w:t>
      </w:r>
      <w:r w:rsidR="00C0358B" w:rsidRPr="00D93B7B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4600B5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такі параметри, як електрофоретична рухливість ліпідних везикул, дзета-потенціал, поверхневий потенціал та поверхнева густина заряду ліпідного </w:t>
      </w:r>
      <w:proofErr w:type="spellStart"/>
      <w:r w:rsidR="004600B5" w:rsidRPr="00D93B7B">
        <w:rPr>
          <w:rFonts w:ascii="Times New Roman" w:hAnsi="Times New Roman" w:cs="Times New Roman"/>
          <w:sz w:val="24"/>
          <w:szCs w:val="24"/>
          <w:lang w:val="uk-UA"/>
        </w:rPr>
        <w:t>бішару</w:t>
      </w:r>
      <w:proofErr w:type="spellEnd"/>
      <w:r w:rsidR="00726697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C0358B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Результати показали </w:t>
      </w:r>
      <w:r w:rsidR="004600B5" w:rsidRPr="00D93B7B">
        <w:rPr>
          <w:rFonts w:ascii="Times New Roman" w:hAnsi="Times New Roman" w:cs="Times New Roman"/>
          <w:sz w:val="24"/>
          <w:szCs w:val="24"/>
          <w:lang w:val="uk-UA"/>
        </w:rPr>
        <w:t>немонотонн</w:t>
      </w:r>
      <w:r w:rsidR="00C0358B" w:rsidRPr="00D93B7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4600B5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залежність електрокінетичних параметрів від співвідношення L/P (яке варіювалось у межах 2174 – 43) для </w:t>
      </w:r>
      <w:proofErr w:type="spellStart"/>
      <w:r w:rsidR="004600B5" w:rsidRPr="00D93B7B">
        <w:rPr>
          <w:rFonts w:ascii="Times New Roman" w:hAnsi="Times New Roman" w:cs="Times New Roman"/>
          <w:sz w:val="24"/>
          <w:szCs w:val="24"/>
          <w:lang w:val="uk-UA"/>
        </w:rPr>
        <w:t>нативного</w:t>
      </w:r>
      <w:proofErr w:type="spellEnd"/>
      <w:r w:rsidR="004600B5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="004600B5" w:rsidRPr="00D93B7B">
        <w:rPr>
          <w:rFonts w:ascii="Times New Roman" w:hAnsi="Times New Roman" w:cs="Times New Roman"/>
          <w:sz w:val="24"/>
          <w:szCs w:val="24"/>
          <w:lang w:val="uk-UA"/>
        </w:rPr>
        <w:t>фібрилярного</w:t>
      </w:r>
      <w:proofErr w:type="spellEnd"/>
      <w:r w:rsidR="004600B5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лізоциму, що вказує на можливість багатошарової адсорбції обох форм білка.</w:t>
      </w:r>
      <w:r w:rsidR="00D337D0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Також з</w:t>
      </w:r>
      <w:r w:rsidR="004600B5" w:rsidRPr="00D93B7B">
        <w:rPr>
          <w:rFonts w:ascii="Times New Roman" w:hAnsi="Times New Roman" w:cs="Times New Roman"/>
          <w:sz w:val="24"/>
          <w:szCs w:val="24"/>
          <w:lang w:val="uk-UA"/>
        </w:rPr>
        <w:t>найдено констант</w:t>
      </w:r>
      <w:r w:rsidR="00CE0961" w:rsidRPr="00D93B7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4600B5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зв’язування </w:t>
      </w:r>
      <w:r w:rsidR="00CE0961" w:rsidRPr="00D93B7B">
        <w:rPr>
          <w:rFonts w:ascii="Times New Roman" w:hAnsi="Times New Roman" w:cs="Times New Roman"/>
          <w:sz w:val="24"/>
          <w:szCs w:val="24"/>
          <w:lang w:val="uk-UA"/>
        </w:rPr>
        <w:t>білка</w:t>
      </w:r>
      <w:r w:rsidR="004600B5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proofErr w:type="spellStart"/>
      <w:r w:rsidR="004600B5" w:rsidRPr="00D93B7B">
        <w:rPr>
          <w:rFonts w:ascii="Times New Roman" w:hAnsi="Times New Roman" w:cs="Times New Roman"/>
          <w:sz w:val="24"/>
          <w:szCs w:val="24"/>
          <w:lang w:val="uk-UA"/>
        </w:rPr>
        <w:t>ліпосомами</w:t>
      </w:r>
      <w:proofErr w:type="spellEnd"/>
      <w:r w:rsidR="00CE0961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за формулою</w:t>
      </w:r>
      <w:r w:rsidR="00726697" w:rsidRPr="00D93B7B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726697" w:rsidRPr="00D93B7B" w:rsidRDefault="00726697" w:rsidP="000464E3">
      <w:pPr>
        <w:spacing w:after="0" w:line="240" w:lineRule="auto"/>
        <w:ind w:left="567" w:right="-284"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93B7B">
        <w:rPr>
          <w:rFonts w:ascii="Times New Roman" w:hAnsi="Times New Roman" w:cs="Times New Roman"/>
          <w:position w:val="-38"/>
          <w:sz w:val="24"/>
          <w:szCs w:val="24"/>
        </w:rPr>
        <w:object w:dxaOrig="362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6.25pt;height:39.75pt" o:ole="">
            <v:imagedata r:id="rId7" o:title=""/>
          </v:shape>
          <o:OLEObject Type="Embed" ProgID="Equation.3" ShapeID="_x0000_i1025" DrawAspect="Content" ObjectID="_1571304891" r:id="rId8"/>
        </w:object>
      </w:r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,</w:t>
      </w:r>
    </w:p>
    <w:p w:rsidR="004600B5" w:rsidRPr="00D93B7B" w:rsidRDefault="00726697" w:rsidP="000464E3">
      <w:pPr>
        <w:spacing w:after="0" w:line="240" w:lineRule="auto"/>
        <w:ind w:left="567" w:right="-284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93B7B">
        <w:rPr>
          <w:rFonts w:ascii="Times New Roman" w:hAnsi="Times New Roman" w:cs="Times New Roman"/>
          <w:sz w:val="24"/>
          <w:szCs w:val="24"/>
          <w:lang w:val="uk-UA"/>
        </w:rPr>
        <w:t>де</w:t>
      </w:r>
      <w:r w:rsidRPr="00D93B7B">
        <w:rPr>
          <w:rFonts w:ascii="Times New Roman" w:hAnsi="Times New Roman" w:cs="Times New Roman"/>
          <w:position w:val="-12"/>
          <w:sz w:val="24"/>
          <w:szCs w:val="24"/>
        </w:rPr>
        <w:object w:dxaOrig="300" w:dyaOrig="380">
          <v:shape id="_x0000_i1026" type="#_x0000_t75" style="width:14.25pt;height:19.5pt" o:ole="">
            <v:imagedata r:id="rId9" o:title=""/>
          </v:shape>
          <o:OLEObject Type="Embed" ProgID="Equation.3" ShapeID="_x0000_i1026" DrawAspect="Content" ObjectID="_1571304892" r:id="rId10"/>
        </w:objec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-концентрація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білка </w:t>
      </w:r>
      <w:r w:rsidRPr="00D93B7B">
        <w:rPr>
          <w:rFonts w:ascii="Times New Roman" w:hAnsi="Times New Roman" w:cs="Times New Roman"/>
          <w:position w:val="-12"/>
          <w:sz w:val="24"/>
          <w:szCs w:val="24"/>
        </w:rPr>
        <w:object w:dxaOrig="340" w:dyaOrig="380">
          <v:shape id="_x0000_i1027" type="#_x0000_t75" style="width:17.25pt;height:19.5pt" o:ole="">
            <v:imagedata r:id="rId11" o:title=""/>
          </v:shape>
          <o:OLEObject Type="Embed" ProgID="Equation.3" ShapeID="_x0000_i1027" DrawAspect="Content" ObjectID="_1571304893" r:id="rId12"/>
        </w:objec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-поверхнева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густина заряду у контролі та у присутності білка </w:t>
      </w:r>
      <w:r w:rsidRPr="00D93B7B">
        <w:rPr>
          <w:rFonts w:ascii="Times New Roman" w:hAnsi="Times New Roman" w:cs="Times New Roman"/>
          <w:position w:val="-12"/>
          <w:sz w:val="24"/>
          <w:szCs w:val="24"/>
        </w:rPr>
        <w:object w:dxaOrig="380" w:dyaOrig="380">
          <v:shape id="_x0000_i1028" type="#_x0000_t75" style="width:19.5pt;height:19.5pt" o:ole="">
            <v:imagedata r:id="rId13" o:title=""/>
          </v:shape>
          <o:OLEObject Type="Embed" ProgID="Equation.3" ShapeID="_x0000_i1028" DrawAspect="Content" ObjectID="_1571304894" r:id="rId14"/>
        </w:objec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-константа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зв’язування білка з фосфоліпідами </w:t>
      </w:r>
      <w:r w:rsidRPr="00D93B7B">
        <w:rPr>
          <w:rFonts w:ascii="Times New Roman" w:hAnsi="Times New Roman" w:cs="Times New Roman"/>
          <w:position w:val="-6"/>
          <w:sz w:val="24"/>
          <w:szCs w:val="24"/>
        </w:rPr>
        <w:object w:dxaOrig="220" w:dyaOrig="240">
          <v:shape id="_x0000_i1029" type="#_x0000_t75" style="width:10.5pt;height:10.5pt" o:ole="">
            <v:imagedata r:id="rId15" o:title=""/>
          </v:shape>
          <o:OLEObject Type="Embed" ProgID="Equation.3" ShapeID="_x0000_i1029" DrawAspect="Content" ObjectID="_1571304895" r:id="rId16"/>
        </w:objec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-кількість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зв’язаних ліпідів на одну молекулу білка </w:t>
      </w:r>
      <w:r w:rsidRPr="00D93B7B">
        <w:rPr>
          <w:rFonts w:ascii="Times New Roman" w:hAnsi="Times New Roman" w:cs="Times New Roman"/>
          <w:position w:val="-6"/>
          <w:sz w:val="24"/>
          <w:szCs w:val="24"/>
        </w:rPr>
        <w:object w:dxaOrig="240" w:dyaOrig="300">
          <v:shape id="_x0000_i1030" type="#_x0000_t75" style="width:10.5pt;height:14.25pt" o:ole="">
            <v:imagedata r:id="rId17" o:title=""/>
          </v:shape>
          <o:OLEObject Type="Embed" ProgID="Equation.3" ShapeID="_x0000_i1030" DrawAspect="Content" ObjectID="_1571304896" r:id="rId18"/>
        </w:objec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-загальна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площа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ліпосом</w:t>
      </w:r>
      <w:proofErr w:type="spellEnd"/>
      <w:r w:rsidR="004750DC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[4]</w:t>
      </w:r>
      <w:r w:rsidRPr="00D93B7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E0961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Виявилося, що значення константи зв</w:t>
      </w:r>
      <w:r w:rsidR="00F962C8" w:rsidRPr="00D93B7B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CE0961" w:rsidRPr="00D93B7B">
        <w:rPr>
          <w:rFonts w:ascii="Times New Roman" w:hAnsi="Times New Roman" w:cs="Times New Roman"/>
          <w:sz w:val="24"/>
          <w:szCs w:val="24"/>
          <w:lang w:val="uk-UA"/>
        </w:rPr>
        <w:t>язування ф</w:t>
      </w:r>
      <w:r w:rsidR="00F962C8" w:rsidRPr="00D93B7B">
        <w:rPr>
          <w:rFonts w:ascii="Times New Roman" w:hAnsi="Times New Roman" w:cs="Times New Roman"/>
          <w:sz w:val="24"/>
          <w:szCs w:val="24"/>
          <w:lang w:val="uk-UA"/>
        </w:rPr>
        <w:t>ібрил</w:t>
      </w:r>
      <w:r w:rsidR="00CE0961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proofErr w:type="spellStart"/>
      <w:r w:rsidR="00CE0961" w:rsidRPr="00D93B7B">
        <w:rPr>
          <w:rFonts w:ascii="Times New Roman" w:hAnsi="Times New Roman" w:cs="Times New Roman"/>
          <w:sz w:val="24"/>
          <w:szCs w:val="24"/>
          <w:lang w:val="uk-UA"/>
        </w:rPr>
        <w:t>ліпосомами</w:t>
      </w:r>
      <w:proofErr w:type="spellEnd"/>
      <w:r w:rsidR="004600B5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була нижча</w:t>
      </w:r>
      <w:r w:rsidR="00F962C8" w:rsidRPr="00D93B7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600B5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ніж у </w:t>
      </w:r>
      <w:proofErr w:type="spellStart"/>
      <w:r w:rsidR="004600B5" w:rsidRPr="00D93B7B">
        <w:rPr>
          <w:rFonts w:ascii="Times New Roman" w:hAnsi="Times New Roman" w:cs="Times New Roman"/>
          <w:sz w:val="24"/>
          <w:szCs w:val="24"/>
          <w:lang w:val="uk-UA"/>
        </w:rPr>
        <w:t>нативного</w:t>
      </w:r>
      <w:proofErr w:type="spellEnd"/>
      <w:r w:rsidR="004600B5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лізоцим</w:t>
      </w:r>
      <w:r w:rsidR="00F962C8" w:rsidRPr="00D93B7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4600B5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. Це свідчить про більший ефект мономерів та олігомерів лізоциму </w:t>
      </w:r>
      <w:r w:rsidR="001F7148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на фізико-хімічні властивості </w:t>
      </w:r>
      <w:proofErr w:type="spellStart"/>
      <w:r w:rsidR="001F7148" w:rsidRPr="00D93B7B">
        <w:rPr>
          <w:rFonts w:ascii="Times New Roman" w:hAnsi="Times New Roman" w:cs="Times New Roman"/>
          <w:sz w:val="24"/>
          <w:szCs w:val="24"/>
          <w:lang w:val="uk-UA"/>
        </w:rPr>
        <w:t>бі</w:t>
      </w:r>
      <w:r w:rsidR="004600B5" w:rsidRPr="00D93B7B">
        <w:rPr>
          <w:rFonts w:ascii="Times New Roman" w:hAnsi="Times New Roman" w:cs="Times New Roman"/>
          <w:sz w:val="24"/>
          <w:szCs w:val="24"/>
          <w:lang w:val="uk-UA"/>
        </w:rPr>
        <w:t>шару</w:t>
      </w:r>
      <w:proofErr w:type="spellEnd"/>
      <w:r w:rsidR="004600B5" w:rsidRPr="00D93B7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600B5" w:rsidRPr="00D93B7B" w:rsidRDefault="004600B5" w:rsidP="000464E3">
      <w:pPr>
        <w:spacing w:after="0" w:line="240" w:lineRule="auto"/>
        <w:ind w:left="567" w:right="-284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Аналіз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вібронної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структури спектрів флуоресценції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пірену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показав, що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фібрилярний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лізоцим спричиняє зростання ступеня гідратації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ліпосомальних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мембран без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холестерина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, в той час як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нативний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білок не впливав на цей параметр.</w:t>
      </w:r>
      <w:r w:rsidR="00D337D0"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5465" w:rsidRPr="00D93B7B">
        <w:rPr>
          <w:rFonts w:ascii="Times New Roman" w:hAnsi="Times New Roman" w:cs="Times New Roman"/>
          <w:sz w:val="24"/>
          <w:szCs w:val="24"/>
          <w:lang w:val="uk-UA"/>
        </w:rPr>
        <w:t>Крім того, в</w:t>
      </w:r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иявлено підвищення ступеня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ексимеризації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пірену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при зв’язуванні обох форм лізоциму з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ліпосомами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, які містили 20 мол%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кардіоліпіну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, що свідчить про зростання вільного об’єму мембрани та зменшення щільності пакування ліпідних молекул, однак при введенні холестерину до складу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ліпосом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спостерігались протилежні зміни цього параметру, причому дія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фібрилярного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білка була більш вираженою.</w:t>
      </w:r>
    </w:p>
    <w:p w:rsidR="00B22D09" w:rsidRPr="00D93B7B" w:rsidRDefault="00726697" w:rsidP="000464E3">
      <w:pPr>
        <w:spacing w:after="0" w:line="240" w:lineRule="auto"/>
        <w:ind w:left="567" w:right="-284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Результати даної роботи є корисними для більш глибокого розуміння токсичної дії </w:t>
      </w:r>
      <w:proofErr w:type="spellStart"/>
      <w:r w:rsidRPr="00D93B7B">
        <w:rPr>
          <w:rFonts w:ascii="Times New Roman" w:hAnsi="Times New Roman" w:cs="Times New Roman"/>
          <w:sz w:val="24"/>
          <w:szCs w:val="24"/>
          <w:lang w:val="uk-UA"/>
        </w:rPr>
        <w:t>амілоїдних</w:t>
      </w:r>
      <w:proofErr w:type="spellEnd"/>
      <w:r w:rsidRPr="00D93B7B">
        <w:rPr>
          <w:rFonts w:ascii="Times New Roman" w:hAnsi="Times New Roman" w:cs="Times New Roman"/>
          <w:sz w:val="24"/>
          <w:szCs w:val="24"/>
          <w:lang w:val="uk-UA"/>
        </w:rPr>
        <w:t xml:space="preserve"> фібрил.</w:t>
      </w:r>
    </w:p>
    <w:p w:rsidR="00BA413C" w:rsidRPr="00D93B7B" w:rsidRDefault="00CA2A13" w:rsidP="000464E3">
      <w:pPr>
        <w:spacing w:after="0" w:line="240" w:lineRule="auto"/>
        <w:ind w:left="567" w:right="-284"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93B7B">
        <w:rPr>
          <w:rFonts w:ascii="Times New Roman" w:hAnsi="Times New Roman" w:cs="Times New Roman"/>
          <w:sz w:val="24"/>
          <w:szCs w:val="24"/>
          <w:lang w:val="uk-UA"/>
        </w:rPr>
        <w:t>Список лі</w:t>
      </w:r>
      <w:r w:rsidR="00BA413C" w:rsidRPr="00D93B7B">
        <w:rPr>
          <w:rFonts w:ascii="Times New Roman" w:hAnsi="Times New Roman" w:cs="Times New Roman"/>
          <w:sz w:val="24"/>
          <w:szCs w:val="24"/>
          <w:lang w:val="uk-UA"/>
        </w:rPr>
        <w:t>тератури:</w:t>
      </w:r>
    </w:p>
    <w:p w:rsidR="004750DC" w:rsidRPr="00D93B7B" w:rsidRDefault="004750DC" w:rsidP="000464E3">
      <w:pPr>
        <w:pStyle w:val="a4"/>
        <w:numPr>
          <w:ilvl w:val="0"/>
          <w:numId w:val="2"/>
        </w:numPr>
        <w:ind w:left="567" w:right="-284" w:firstLine="284"/>
        <w:jc w:val="both"/>
        <w:rPr>
          <w:sz w:val="20"/>
          <w:szCs w:val="20"/>
          <w:lang w:val="en-US"/>
        </w:rPr>
      </w:pPr>
      <w:r w:rsidRPr="00D93B7B">
        <w:rPr>
          <w:rFonts w:eastAsia="OneGulliverA"/>
          <w:color w:val="000000"/>
          <w:sz w:val="20"/>
          <w:szCs w:val="20"/>
          <w:lang w:val="en-US"/>
        </w:rPr>
        <w:t xml:space="preserve">M. Stefani, Protein </w:t>
      </w:r>
      <w:proofErr w:type="spellStart"/>
      <w:r w:rsidRPr="00D93B7B">
        <w:rPr>
          <w:rFonts w:eastAsia="OneGulliverA"/>
          <w:color w:val="000000"/>
          <w:sz w:val="20"/>
          <w:szCs w:val="20"/>
          <w:lang w:val="en-US"/>
        </w:rPr>
        <w:t>misfolding</w:t>
      </w:r>
      <w:proofErr w:type="spellEnd"/>
      <w:r w:rsidRPr="00D93B7B">
        <w:rPr>
          <w:rFonts w:eastAsia="OneGulliverA"/>
          <w:color w:val="000000"/>
          <w:sz w:val="20"/>
          <w:szCs w:val="20"/>
          <w:lang w:val="en-US"/>
        </w:rPr>
        <w:t xml:space="preserve"> and aggregation: new examples in medicine and biology of the dark side of the protein world / M. Stefani // </w:t>
      </w:r>
      <w:proofErr w:type="spellStart"/>
      <w:r w:rsidRPr="00D93B7B">
        <w:rPr>
          <w:rFonts w:eastAsia="OneGulliverA"/>
          <w:color w:val="000000"/>
          <w:sz w:val="20"/>
          <w:szCs w:val="20"/>
          <w:lang w:val="en-US"/>
        </w:rPr>
        <w:t>Biochim</w:t>
      </w:r>
      <w:proofErr w:type="spellEnd"/>
      <w:r w:rsidRPr="00D93B7B">
        <w:rPr>
          <w:rFonts w:eastAsia="OneGulliverA"/>
          <w:color w:val="000000"/>
          <w:sz w:val="20"/>
          <w:szCs w:val="20"/>
          <w:lang w:val="en-US"/>
        </w:rPr>
        <w:t xml:space="preserve">. </w:t>
      </w:r>
      <w:proofErr w:type="spellStart"/>
      <w:r w:rsidRPr="00D93B7B">
        <w:rPr>
          <w:rFonts w:eastAsia="OneGulliverA"/>
          <w:color w:val="000000"/>
          <w:sz w:val="20"/>
          <w:szCs w:val="20"/>
          <w:lang w:val="en-US"/>
        </w:rPr>
        <w:t>Biophys</w:t>
      </w:r>
      <w:proofErr w:type="spellEnd"/>
      <w:r w:rsidRPr="00D93B7B">
        <w:rPr>
          <w:rFonts w:eastAsia="OneGulliverA"/>
          <w:color w:val="000000"/>
          <w:sz w:val="20"/>
          <w:szCs w:val="20"/>
          <w:lang w:val="en-US"/>
        </w:rPr>
        <w:t xml:space="preserve">. </w:t>
      </w:r>
      <w:proofErr w:type="spellStart"/>
      <w:r w:rsidRPr="00D93B7B">
        <w:rPr>
          <w:rFonts w:eastAsia="OneGulliverA"/>
          <w:color w:val="000000"/>
          <w:sz w:val="20"/>
          <w:szCs w:val="20"/>
          <w:lang w:val="en-US"/>
        </w:rPr>
        <w:t>Acta</w:t>
      </w:r>
      <w:proofErr w:type="spellEnd"/>
      <w:r w:rsidRPr="00D93B7B">
        <w:rPr>
          <w:rFonts w:eastAsia="OneGulliverA"/>
          <w:color w:val="000000"/>
          <w:sz w:val="20"/>
          <w:szCs w:val="20"/>
          <w:lang w:val="en-US"/>
        </w:rPr>
        <w:t>. – 2004. – V. 1739. – P. 5-25.</w:t>
      </w:r>
    </w:p>
    <w:p w:rsidR="004750DC" w:rsidRPr="00D93B7B" w:rsidRDefault="004750DC" w:rsidP="000464E3">
      <w:pPr>
        <w:pStyle w:val="a4"/>
        <w:numPr>
          <w:ilvl w:val="0"/>
          <w:numId w:val="2"/>
        </w:numPr>
        <w:ind w:left="567" w:right="-284" w:firstLine="284"/>
        <w:jc w:val="both"/>
        <w:rPr>
          <w:sz w:val="20"/>
          <w:szCs w:val="20"/>
          <w:lang w:val="en-US"/>
        </w:rPr>
      </w:pPr>
      <w:r w:rsidRPr="00D93B7B">
        <w:rPr>
          <w:snapToGrid w:val="0"/>
          <w:sz w:val="20"/>
          <w:szCs w:val="20"/>
          <w:lang w:val="en-US"/>
        </w:rPr>
        <w:t xml:space="preserve">E. </w:t>
      </w:r>
      <w:proofErr w:type="spellStart"/>
      <w:r w:rsidRPr="00D93B7B">
        <w:rPr>
          <w:snapToGrid w:val="0"/>
          <w:sz w:val="20"/>
          <w:szCs w:val="20"/>
          <w:lang w:val="en-US"/>
        </w:rPr>
        <w:t>Zerovnik</w:t>
      </w:r>
      <w:proofErr w:type="spellEnd"/>
      <w:r w:rsidRPr="00D93B7B">
        <w:rPr>
          <w:snapToGrid w:val="0"/>
          <w:sz w:val="20"/>
          <w:szCs w:val="20"/>
          <w:lang w:val="en-US"/>
        </w:rPr>
        <w:t xml:space="preserve">, </w:t>
      </w:r>
      <w:r w:rsidRPr="00D93B7B">
        <w:rPr>
          <w:sz w:val="20"/>
          <w:szCs w:val="20"/>
          <w:lang w:val="en-US"/>
        </w:rPr>
        <w:t xml:space="preserve">Amyloid-fibril formation. Proposed mechanisms and relevance to conformational disease / E. </w:t>
      </w:r>
      <w:proofErr w:type="spellStart"/>
      <w:r w:rsidRPr="00D93B7B">
        <w:rPr>
          <w:sz w:val="20"/>
          <w:szCs w:val="20"/>
          <w:lang w:val="en-US"/>
        </w:rPr>
        <w:t>Zerovnik</w:t>
      </w:r>
      <w:proofErr w:type="spellEnd"/>
      <w:r w:rsidRPr="00D93B7B">
        <w:rPr>
          <w:sz w:val="20"/>
          <w:szCs w:val="20"/>
          <w:lang w:val="en-US"/>
        </w:rPr>
        <w:t xml:space="preserve"> // Eur. J. </w:t>
      </w:r>
      <w:proofErr w:type="spellStart"/>
      <w:r w:rsidRPr="00D93B7B">
        <w:rPr>
          <w:sz w:val="20"/>
          <w:szCs w:val="20"/>
          <w:lang w:val="en-US"/>
        </w:rPr>
        <w:t>Biochem</w:t>
      </w:r>
      <w:proofErr w:type="spellEnd"/>
      <w:r w:rsidRPr="00D93B7B">
        <w:rPr>
          <w:sz w:val="20"/>
          <w:szCs w:val="20"/>
          <w:lang w:val="en-US"/>
        </w:rPr>
        <w:t>. – 2002. – V. 269. – P. 3362-3371.</w:t>
      </w:r>
    </w:p>
    <w:p w:rsidR="004750DC" w:rsidRPr="00D93B7B" w:rsidRDefault="00F37384" w:rsidP="000464E3">
      <w:pPr>
        <w:pStyle w:val="a4"/>
        <w:numPr>
          <w:ilvl w:val="0"/>
          <w:numId w:val="2"/>
        </w:numPr>
        <w:ind w:left="567" w:right="-284" w:firstLine="284"/>
        <w:jc w:val="both"/>
        <w:rPr>
          <w:sz w:val="20"/>
          <w:szCs w:val="20"/>
          <w:lang w:val="en-US"/>
        </w:rPr>
      </w:pPr>
      <w:r w:rsidRPr="00D93B7B">
        <w:rPr>
          <w:sz w:val="20"/>
          <w:szCs w:val="20"/>
          <w:lang w:val="en-US"/>
        </w:rPr>
        <w:t xml:space="preserve">G. </w:t>
      </w:r>
      <w:proofErr w:type="spellStart"/>
      <w:r w:rsidRPr="00D93B7B">
        <w:rPr>
          <w:sz w:val="20"/>
          <w:szCs w:val="20"/>
          <w:lang w:val="en-US"/>
        </w:rPr>
        <w:t>Cevc</w:t>
      </w:r>
      <w:proofErr w:type="spellEnd"/>
      <w:r w:rsidRPr="00D93B7B">
        <w:rPr>
          <w:sz w:val="20"/>
          <w:szCs w:val="20"/>
          <w:lang w:val="en-US"/>
        </w:rPr>
        <w:t xml:space="preserve">, Membrane electrostatics/ G. </w:t>
      </w:r>
      <w:proofErr w:type="spellStart"/>
      <w:r w:rsidRPr="00D93B7B">
        <w:rPr>
          <w:sz w:val="20"/>
          <w:szCs w:val="20"/>
          <w:lang w:val="en-US"/>
        </w:rPr>
        <w:t>Cevc</w:t>
      </w:r>
      <w:proofErr w:type="spellEnd"/>
      <w:r w:rsidRPr="00D93B7B">
        <w:rPr>
          <w:sz w:val="20"/>
          <w:szCs w:val="20"/>
          <w:lang w:val="en-US"/>
        </w:rPr>
        <w:t xml:space="preserve"> // </w:t>
      </w:r>
      <w:proofErr w:type="spellStart"/>
      <w:r w:rsidRPr="00D93B7B">
        <w:rPr>
          <w:sz w:val="20"/>
          <w:szCs w:val="20"/>
          <w:lang w:val="en-US"/>
        </w:rPr>
        <w:t>Biochim</w:t>
      </w:r>
      <w:proofErr w:type="spellEnd"/>
      <w:r w:rsidRPr="00D93B7B">
        <w:rPr>
          <w:sz w:val="20"/>
          <w:szCs w:val="20"/>
          <w:lang w:val="en-US"/>
        </w:rPr>
        <w:t xml:space="preserve">. </w:t>
      </w:r>
      <w:proofErr w:type="spellStart"/>
      <w:r w:rsidRPr="00D93B7B">
        <w:rPr>
          <w:sz w:val="20"/>
          <w:szCs w:val="20"/>
          <w:lang w:val="en-US"/>
        </w:rPr>
        <w:t>Biophys</w:t>
      </w:r>
      <w:proofErr w:type="spellEnd"/>
      <w:r w:rsidRPr="00D93B7B">
        <w:rPr>
          <w:sz w:val="20"/>
          <w:szCs w:val="20"/>
          <w:lang w:val="en-US"/>
        </w:rPr>
        <w:t xml:space="preserve">. </w:t>
      </w:r>
      <w:proofErr w:type="spellStart"/>
      <w:r w:rsidRPr="00D93B7B">
        <w:rPr>
          <w:sz w:val="20"/>
          <w:szCs w:val="20"/>
          <w:lang w:val="en-US"/>
        </w:rPr>
        <w:t>Acta</w:t>
      </w:r>
      <w:proofErr w:type="spellEnd"/>
      <w:r w:rsidRPr="00D93B7B">
        <w:rPr>
          <w:sz w:val="20"/>
          <w:szCs w:val="20"/>
          <w:lang w:val="en-US"/>
        </w:rPr>
        <w:t>. – 1990. – V. 1031. – P. 311-382.</w:t>
      </w:r>
    </w:p>
    <w:p w:rsidR="000464E3" w:rsidRPr="00D93B7B" w:rsidRDefault="004750DC" w:rsidP="000464E3">
      <w:pPr>
        <w:numPr>
          <w:ilvl w:val="0"/>
          <w:numId w:val="2"/>
        </w:numPr>
        <w:spacing w:after="0" w:line="240" w:lineRule="auto"/>
        <w:ind w:left="567" w:right="-284"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D93B7B">
        <w:rPr>
          <w:rFonts w:ascii="Times New Roman" w:hAnsi="Times New Roman" w:cs="Times New Roman"/>
          <w:sz w:val="20"/>
          <w:szCs w:val="20"/>
          <w:lang w:val="en-US"/>
        </w:rPr>
        <w:t>Горбенко</w:t>
      </w:r>
      <w:proofErr w:type="spellEnd"/>
      <w:r w:rsidRPr="00D93B7B">
        <w:rPr>
          <w:rFonts w:ascii="Times New Roman" w:hAnsi="Times New Roman" w:cs="Times New Roman"/>
          <w:sz w:val="20"/>
          <w:szCs w:val="20"/>
          <w:lang w:val="en-US"/>
        </w:rPr>
        <w:t xml:space="preserve"> Г.П. </w:t>
      </w:r>
      <w:proofErr w:type="spellStart"/>
      <w:r w:rsidRPr="00D93B7B">
        <w:rPr>
          <w:rFonts w:ascii="Times New Roman" w:hAnsi="Times New Roman" w:cs="Times New Roman"/>
          <w:sz w:val="20"/>
          <w:szCs w:val="20"/>
          <w:lang w:val="en-US"/>
        </w:rPr>
        <w:t>Моделі</w:t>
      </w:r>
      <w:proofErr w:type="spellEnd"/>
      <w:r w:rsidRPr="00D93B7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93B7B">
        <w:rPr>
          <w:rFonts w:ascii="Times New Roman" w:hAnsi="Times New Roman" w:cs="Times New Roman"/>
          <w:sz w:val="20"/>
          <w:szCs w:val="20"/>
          <w:lang w:val="en-US"/>
        </w:rPr>
        <w:t>адсорбції</w:t>
      </w:r>
      <w:proofErr w:type="spellEnd"/>
      <w:r w:rsidRPr="00D93B7B">
        <w:rPr>
          <w:rFonts w:ascii="Times New Roman" w:hAnsi="Times New Roman" w:cs="Times New Roman"/>
          <w:sz w:val="20"/>
          <w:szCs w:val="20"/>
          <w:lang w:val="en-US"/>
        </w:rPr>
        <w:t xml:space="preserve"> /</w:t>
      </w:r>
      <w:r w:rsidR="00ED6FE1" w:rsidRPr="00D93B7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ED6FE1" w:rsidRPr="00D93B7B">
        <w:rPr>
          <w:rFonts w:ascii="Times New Roman" w:hAnsi="Times New Roman" w:cs="Times New Roman"/>
          <w:sz w:val="20"/>
          <w:szCs w:val="20"/>
          <w:lang w:val="en-US"/>
        </w:rPr>
        <w:t>Горбенко</w:t>
      </w:r>
      <w:proofErr w:type="spellEnd"/>
      <w:r w:rsidR="00ED6FE1" w:rsidRPr="00D93B7B">
        <w:rPr>
          <w:rFonts w:ascii="Times New Roman" w:hAnsi="Times New Roman" w:cs="Times New Roman"/>
          <w:sz w:val="20"/>
          <w:szCs w:val="20"/>
          <w:lang w:val="en-US"/>
        </w:rPr>
        <w:t xml:space="preserve"> Г.П. //</w:t>
      </w:r>
      <w:r w:rsidRPr="00D93B7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93B7B">
        <w:rPr>
          <w:rFonts w:ascii="Times New Roman" w:hAnsi="Times New Roman" w:cs="Times New Roman"/>
          <w:sz w:val="20"/>
          <w:szCs w:val="20"/>
          <w:lang w:val="en-US"/>
        </w:rPr>
        <w:t>М</w:t>
      </w:r>
      <w:r w:rsidR="00ED6FE1" w:rsidRPr="00D93B7B">
        <w:rPr>
          <w:rFonts w:ascii="Times New Roman" w:hAnsi="Times New Roman" w:cs="Times New Roman"/>
          <w:sz w:val="20"/>
          <w:szCs w:val="20"/>
          <w:lang w:val="en-US"/>
        </w:rPr>
        <w:t>етодичні</w:t>
      </w:r>
      <w:proofErr w:type="spellEnd"/>
      <w:r w:rsidR="00ED6FE1" w:rsidRPr="00D93B7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="00ED6FE1" w:rsidRPr="00D93B7B">
        <w:rPr>
          <w:rFonts w:ascii="Times New Roman" w:hAnsi="Times New Roman" w:cs="Times New Roman"/>
          <w:sz w:val="20"/>
          <w:szCs w:val="20"/>
          <w:lang w:val="en-US"/>
        </w:rPr>
        <w:t>вказівки</w:t>
      </w:r>
      <w:proofErr w:type="spellEnd"/>
      <w:r w:rsidR="00ED6FE1" w:rsidRPr="00D93B7B">
        <w:rPr>
          <w:rFonts w:ascii="Times New Roman" w:hAnsi="Times New Roman" w:cs="Times New Roman"/>
          <w:sz w:val="20"/>
          <w:szCs w:val="20"/>
          <w:lang w:val="en-US"/>
        </w:rPr>
        <w:t>. -</w:t>
      </w:r>
      <w:r w:rsidRPr="00D93B7B">
        <w:rPr>
          <w:rFonts w:ascii="Times New Roman" w:hAnsi="Times New Roman" w:cs="Times New Roman"/>
          <w:sz w:val="20"/>
          <w:szCs w:val="20"/>
          <w:lang w:val="en-US"/>
        </w:rPr>
        <w:t xml:space="preserve">Х.: ХНУ </w:t>
      </w:r>
      <w:proofErr w:type="spellStart"/>
      <w:r w:rsidRPr="00D93B7B">
        <w:rPr>
          <w:rFonts w:ascii="Times New Roman" w:hAnsi="Times New Roman" w:cs="Times New Roman"/>
          <w:sz w:val="20"/>
          <w:szCs w:val="20"/>
        </w:rPr>
        <w:t>імені</w:t>
      </w:r>
      <w:proofErr w:type="spellEnd"/>
      <w:r w:rsidRPr="00D93B7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D93B7B">
        <w:rPr>
          <w:rFonts w:ascii="Times New Roman" w:hAnsi="Times New Roman" w:cs="Times New Roman"/>
          <w:sz w:val="20"/>
          <w:szCs w:val="20"/>
        </w:rPr>
        <w:t>В</w:t>
      </w:r>
      <w:r w:rsidRPr="00D93B7B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D93B7B">
        <w:rPr>
          <w:rFonts w:ascii="Times New Roman" w:hAnsi="Times New Roman" w:cs="Times New Roman"/>
          <w:sz w:val="20"/>
          <w:szCs w:val="20"/>
        </w:rPr>
        <w:t>Н</w:t>
      </w:r>
      <w:r w:rsidRPr="00D93B7B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D93B7B">
        <w:rPr>
          <w:rFonts w:ascii="Times New Roman" w:hAnsi="Times New Roman" w:cs="Times New Roman"/>
          <w:sz w:val="20"/>
          <w:szCs w:val="20"/>
        </w:rPr>
        <w:t>Каразіна</w:t>
      </w:r>
      <w:proofErr w:type="spellEnd"/>
      <w:r w:rsidRPr="00D93B7B">
        <w:rPr>
          <w:rFonts w:ascii="Times New Roman" w:hAnsi="Times New Roman" w:cs="Times New Roman"/>
          <w:sz w:val="20"/>
          <w:szCs w:val="20"/>
          <w:lang w:val="en-US"/>
        </w:rPr>
        <w:t xml:space="preserve">, 2007.- 40 </w:t>
      </w:r>
      <w:r w:rsidRPr="00D93B7B">
        <w:rPr>
          <w:rFonts w:ascii="Times New Roman" w:hAnsi="Times New Roman" w:cs="Times New Roman"/>
          <w:sz w:val="20"/>
          <w:szCs w:val="20"/>
        </w:rPr>
        <w:t>с</w:t>
      </w:r>
      <w:r w:rsidRPr="00D93B7B">
        <w:rPr>
          <w:rFonts w:ascii="Times New Roman" w:hAnsi="Times New Roman" w:cs="Times New Roman"/>
          <w:sz w:val="20"/>
          <w:szCs w:val="20"/>
          <w:lang w:val="en-US"/>
        </w:rPr>
        <w:t>.</w:t>
      </w:r>
    </w:p>
    <w:sectPr w:rsidR="000464E3" w:rsidRPr="00D93B7B" w:rsidSect="000464E3">
      <w:pgSz w:w="11906" w:h="16838"/>
      <w:pgMar w:top="851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neGulliverA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165AE"/>
    <w:multiLevelType w:val="multilevel"/>
    <w:tmpl w:val="700E60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1" w:hanging="421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60352A8E"/>
    <w:multiLevelType w:val="hybridMultilevel"/>
    <w:tmpl w:val="3DECEC52"/>
    <w:lvl w:ilvl="0" w:tplc="98EAE2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FE"/>
    <w:rsid w:val="000464E3"/>
    <w:rsid w:val="00115465"/>
    <w:rsid w:val="00131BB3"/>
    <w:rsid w:val="001F7148"/>
    <w:rsid w:val="00227B05"/>
    <w:rsid w:val="003C35F8"/>
    <w:rsid w:val="003E6B6B"/>
    <w:rsid w:val="00417E21"/>
    <w:rsid w:val="004423E6"/>
    <w:rsid w:val="004528DC"/>
    <w:rsid w:val="004600B5"/>
    <w:rsid w:val="004750DC"/>
    <w:rsid w:val="005100CC"/>
    <w:rsid w:val="005A5BDA"/>
    <w:rsid w:val="00613898"/>
    <w:rsid w:val="00726697"/>
    <w:rsid w:val="007E630B"/>
    <w:rsid w:val="008D6638"/>
    <w:rsid w:val="00906BA9"/>
    <w:rsid w:val="009F54F9"/>
    <w:rsid w:val="00A21368"/>
    <w:rsid w:val="00B22D09"/>
    <w:rsid w:val="00B87533"/>
    <w:rsid w:val="00B937EE"/>
    <w:rsid w:val="00BA413C"/>
    <w:rsid w:val="00C0358B"/>
    <w:rsid w:val="00C523BF"/>
    <w:rsid w:val="00CA2A13"/>
    <w:rsid w:val="00CE0961"/>
    <w:rsid w:val="00CE5CF3"/>
    <w:rsid w:val="00CF5341"/>
    <w:rsid w:val="00D02B1E"/>
    <w:rsid w:val="00D337D0"/>
    <w:rsid w:val="00D54AE2"/>
    <w:rsid w:val="00D93B7B"/>
    <w:rsid w:val="00E708FE"/>
    <w:rsid w:val="00E731D4"/>
    <w:rsid w:val="00ED6FE1"/>
    <w:rsid w:val="00F37384"/>
    <w:rsid w:val="00F65778"/>
    <w:rsid w:val="00F9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BA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4600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BA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4600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08D11-7D70-44C6-9C28-437053AC4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2369</Words>
  <Characters>1351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Puma</cp:lastModifiedBy>
  <cp:revision>23</cp:revision>
  <dcterms:created xsi:type="dcterms:W3CDTF">2017-10-31T13:03:00Z</dcterms:created>
  <dcterms:modified xsi:type="dcterms:W3CDTF">2017-11-04T10:48:00Z</dcterms:modified>
</cp:coreProperties>
</file>