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E5" w:rsidRPr="003C0EE5" w:rsidRDefault="00E96BD6" w:rsidP="00DE25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Дислокаційна структура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борі</w:t>
      </w:r>
      <w:r w:rsidR="003C0EE5" w:rsidRPr="003C0EE5">
        <w:rPr>
          <w:rFonts w:ascii="Times New Roman" w:hAnsi="Times New Roman" w:cs="Times New Roman"/>
          <w:b/>
          <w:sz w:val="24"/>
          <w:szCs w:val="24"/>
          <w:lang w:val="uk-UA"/>
        </w:rPr>
        <w:t>дних</w:t>
      </w:r>
      <w:proofErr w:type="spellEnd"/>
      <w:r w:rsidR="003C0EE5" w:rsidRPr="003C0E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сплавів нікелю</w:t>
      </w:r>
    </w:p>
    <w:p w:rsidR="003C0EE5" w:rsidRDefault="003C0EE5" w:rsidP="003C0EE5">
      <w:pPr>
        <w:spacing w:after="0"/>
        <w:jc w:val="center"/>
        <w:rPr>
          <w:rFonts w:ascii="Times New Roman" w:hAnsi="Times New Roman" w:cs="Times New Roman"/>
          <w:i/>
          <w:lang w:val="uk-UA"/>
        </w:rPr>
      </w:pPr>
      <w:proofErr w:type="spellStart"/>
      <w:r w:rsidRPr="003C0EE5">
        <w:rPr>
          <w:rFonts w:ascii="Times New Roman" w:hAnsi="Times New Roman" w:cs="Times New Roman"/>
          <w:i/>
          <w:lang w:val="uk-UA"/>
        </w:rPr>
        <w:t>Дьячков</w:t>
      </w:r>
      <w:proofErr w:type="spellEnd"/>
      <w:r w:rsidRPr="003C0EE5">
        <w:rPr>
          <w:rFonts w:ascii="Times New Roman" w:hAnsi="Times New Roman" w:cs="Times New Roman"/>
          <w:i/>
          <w:lang w:val="uk-UA"/>
        </w:rPr>
        <w:t xml:space="preserve"> Д. А. (доц. </w:t>
      </w:r>
      <w:proofErr w:type="spellStart"/>
      <w:r w:rsidRPr="003C0EE5">
        <w:rPr>
          <w:rFonts w:ascii="Times New Roman" w:hAnsi="Times New Roman" w:cs="Times New Roman"/>
          <w:i/>
          <w:lang w:val="uk-UA"/>
        </w:rPr>
        <w:t>Семененко</w:t>
      </w:r>
      <w:proofErr w:type="spellEnd"/>
      <w:r w:rsidRPr="003C0EE5">
        <w:rPr>
          <w:rFonts w:ascii="Times New Roman" w:hAnsi="Times New Roman" w:cs="Times New Roman"/>
          <w:i/>
          <w:lang w:val="uk-UA"/>
        </w:rPr>
        <w:t xml:space="preserve"> В. Є.)</w:t>
      </w:r>
    </w:p>
    <w:p w:rsidR="00DE25E9" w:rsidRPr="003C0EE5" w:rsidRDefault="00DE25E9" w:rsidP="003C0EE5">
      <w:pPr>
        <w:spacing w:after="0"/>
        <w:jc w:val="center"/>
        <w:rPr>
          <w:rFonts w:ascii="Times New Roman" w:hAnsi="Times New Roman" w:cs="Times New Roman"/>
          <w:i/>
          <w:lang w:val="uk-UA"/>
        </w:rPr>
      </w:pPr>
    </w:p>
    <w:p w:rsidR="003C0EE5" w:rsidRPr="003C0EE5" w:rsidRDefault="003C0EE5" w:rsidP="00DE25E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Борідні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карбідні сплави на основі перехідних металів знаходять широке застосування як жароміцні і зносостійкі матеріали в ат</w:t>
      </w:r>
      <w:r w:rsidR="00DE25E9">
        <w:rPr>
          <w:rFonts w:ascii="Times New Roman" w:hAnsi="Times New Roman" w:cs="Times New Roman"/>
          <w:sz w:val="24"/>
          <w:szCs w:val="24"/>
          <w:lang w:val="uk-UA"/>
        </w:rPr>
        <w:t>омній і нетрадиційній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енергетиці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0EE5" w:rsidRPr="003C0EE5" w:rsidRDefault="003C0EE5" w:rsidP="00DE25E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0EE5">
        <w:rPr>
          <w:rFonts w:ascii="Times New Roman" w:hAnsi="Times New Roman" w:cs="Times New Roman"/>
          <w:sz w:val="24"/>
          <w:szCs w:val="24"/>
          <w:lang w:val="uk-UA"/>
        </w:rPr>
        <w:t>У даній роботі в якості об'є</w:t>
      </w:r>
      <w:r>
        <w:rPr>
          <w:rFonts w:ascii="Times New Roman" w:hAnsi="Times New Roman" w:cs="Times New Roman"/>
          <w:sz w:val="24"/>
          <w:szCs w:val="24"/>
          <w:lang w:val="uk-UA"/>
        </w:rPr>
        <w:t>кта дослідження обрано легований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бором нікель. Оскільки бор має великий атомний діаметр по відношенню до домішок впровадження (вуглець, азот), він знижує дифузійну рухливість легуючих елементів, необхідних для утворення карбідних</w:t>
      </w:r>
      <w:r w:rsidR="00DE25E9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="00DE25E9">
        <w:rPr>
          <w:rFonts w:ascii="Times New Roman" w:hAnsi="Times New Roman" w:cs="Times New Roman"/>
          <w:sz w:val="24"/>
          <w:szCs w:val="24"/>
          <w:lang w:val="uk-UA"/>
        </w:rPr>
        <w:t>інтермета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лідних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фаз. </w:t>
      </w:r>
      <w:r>
        <w:rPr>
          <w:rFonts w:ascii="Times New Roman" w:hAnsi="Times New Roman" w:cs="Times New Roman"/>
          <w:sz w:val="24"/>
          <w:szCs w:val="24"/>
          <w:lang w:val="uk-UA"/>
        </w:rPr>
        <w:t>Утворення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комплексу атом бору-вакансія (енергія зв'язку ≈0.4 еВ) грає важливу роль в транс</w:t>
      </w:r>
      <w:bookmarkStart w:id="0" w:name="_GoBack"/>
      <w:bookmarkEnd w:id="0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порті бору до структурних дефектів кристалічної решітки, а також до кордонів зерен і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міжфазних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кордонів [1].</w:t>
      </w:r>
    </w:p>
    <w:p w:rsidR="003C0EE5" w:rsidRPr="003C0EE5" w:rsidRDefault="003C0EE5" w:rsidP="00DE25E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0EE5">
        <w:rPr>
          <w:rFonts w:ascii="Times New Roman" w:hAnsi="Times New Roman" w:cs="Times New Roman"/>
          <w:sz w:val="24"/>
          <w:szCs w:val="24"/>
          <w:lang w:val="uk-UA"/>
        </w:rPr>
        <w:t>Механізм впливу бору в сплавах з ве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ликим вмістом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фаз не цілком ясний: сама фаза може уповільнювати дифузію, тобто, її п</w:t>
      </w:r>
      <w:r>
        <w:rPr>
          <w:rFonts w:ascii="Times New Roman" w:hAnsi="Times New Roman" w:cs="Times New Roman"/>
          <w:sz w:val="24"/>
          <w:szCs w:val="24"/>
          <w:lang w:val="uk-UA"/>
        </w:rPr>
        <w:t>роникність менше, ніж у твердому розчині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, а побічно вона може призводити до прискорення дифузія через утворення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міжфазних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кордонів [2]. Як відомо, на фізико-механічне властивості конструкційних матеріалів визначальну роль впливають дислокації, проте дані по еволюції дислокаційної структури фаз,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утворюється безпосередньо в процесі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фазо</w:t>
      </w:r>
      <w:r>
        <w:rPr>
          <w:rFonts w:ascii="Times New Roman" w:hAnsi="Times New Roman" w:cs="Times New Roman"/>
          <w:sz w:val="24"/>
          <w:szCs w:val="24"/>
          <w:lang w:val="uk-UA"/>
        </w:rPr>
        <w:t>утворення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>, практично відсутні [2,3]. Саме тому в даній роботі досліджувалася дисл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окаційна структура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сплавів.</w:t>
      </w:r>
    </w:p>
    <w:p w:rsidR="003C0EE5" w:rsidRPr="003C0EE5" w:rsidRDefault="003C0EE5" w:rsidP="00DE25E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Застосовуючи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метало-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та рентгеноструктурний аналізи, п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роведено дослідження впливу </w:t>
      </w:r>
      <w:proofErr w:type="spellStart"/>
      <w:r w:rsidR="00E96BD6">
        <w:rPr>
          <w:rFonts w:ascii="Times New Roman" w:hAnsi="Times New Roman" w:cs="Times New Roman"/>
          <w:sz w:val="24"/>
          <w:szCs w:val="24"/>
          <w:lang w:val="uk-UA"/>
        </w:rPr>
        <w:t>борі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дних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покриттів на дислокаційну структуру нікелю. Безумовно, що при дифузії бору в нікелі під суцільним дифузійним шаром формуються великі скупчення дислокацій. Методом електронної мікроскопії на зразках, отриманих електрохімічним способом і методом спрямованої кристалізації, визнач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ено, що центр кристалізації </w:t>
      </w:r>
      <w:proofErr w:type="spellStart"/>
      <w:r w:rsidR="00E96BD6">
        <w:rPr>
          <w:rFonts w:ascii="Times New Roman" w:hAnsi="Times New Roman" w:cs="Times New Roman"/>
          <w:sz w:val="24"/>
          <w:szCs w:val="24"/>
          <w:lang w:val="uk-UA"/>
        </w:rPr>
        <w:t>борі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да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Ni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B має шестигранну форму. Методом термічного вакуумного травлення в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бо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>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дами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Ni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B, Ni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B,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NiB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>, Ni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4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B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виявлені місця виходу дис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>локаційних ліній у формі чотиригранника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. У сплавах, отриманих як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твердофазним</w:t>
      </w:r>
      <w:proofErr w:type="spellEnd"/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електрохімічним способом, так і спрямованою кристалізацією на </w:t>
      </w:r>
      <w:proofErr w:type="spellStart"/>
      <w:r w:rsidRPr="003C0EE5">
        <w:rPr>
          <w:rFonts w:ascii="Times New Roman" w:hAnsi="Times New Roman" w:cs="Times New Roman"/>
          <w:sz w:val="24"/>
          <w:szCs w:val="24"/>
          <w:lang w:val="uk-UA"/>
        </w:rPr>
        <w:t>міжфаз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>ному</w:t>
      </w:r>
      <w:proofErr w:type="spellEnd"/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96BD6">
        <w:rPr>
          <w:rFonts w:ascii="Times New Roman" w:hAnsi="Times New Roman" w:cs="Times New Roman"/>
          <w:sz w:val="24"/>
          <w:szCs w:val="24"/>
          <w:lang w:val="uk-UA"/>
        </w:rPr>
        <w:t>полукогерентному</w:t>
      </w:r>
      <w:proofErr w:type="spellEnd"/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 кордоні борі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д нікелю (Ni</w:t>
      </w:r>
      <w:r w:rsidRPr="00E96BD6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B) -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нік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>елева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матриця виявлені дислокації невідповідності, виз</w:t>
      </w:r>
      <w:r w:rsidR="00DE25E9">
        <w:rPr>
          <w:rFonts w:ascii="Times New Roman" w:hAnsi="Times New Roman" w:cs="Times New Roman"/>
          <w:sz w:val="24"/>
          <w:szCs w:val="24"/>
          <w:lang w:val="uk-UA"/>
        </w:rPr>
        <w:t>начена</w:t>
      </w:r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 відстань між </w:t>
      </w:r>
      <w:proofErr w:type="spellStart"/>
      <w:r w:rsidR="00E96BD6">
        <w:rPr>
          <w:rFonts w:ascii="Times New Roman" w:hAnsi="Times New Roman" w:cs="Times New Roman"/>
          <w:sz w:val="24"/>
          <w:szCs w:val="24"/>
          <w:lang w:val="uk-UA"/>
        </w:rPr>
        <w:t>епітаксійними</w:t>
      </w:r>
      <w:proofErr w:type="spellEnd"/>
      <w:r w:rsidR="00E96BD6">
        <w:rPr>
          <w:rFonts w:ascii="Times New Roman" w:hAnsi="Times New Roman" w:cs="Times New Roman"/>
          <w:sz w:val="24"/>
          <w:szCs w:val="24"/>
          <w:lang w:val="uk-UA"/>
        </w:rPr>
        <w:t xml:space="preserve"> дислокаці</w:t>
      </w:r>
      <w:r w:rsidRPr="003C0EE5">
        <w:rPr>
          <w:rFonts w:ascii="Times New Roman" w:hAnsi="Times New Roman" w:cs="Times New Roman"/>
          <w:sz w:val="24"/>
          <w:szCs w:val="24"/>
          <w:lang w:val="uk-UA"/>
        </w:rPr>
        <w:t>ями.</w:t>
      </w:r>
    </w:p>
    <w:p w:rsidR="003C0EE5" w:rsidRDefault="00E96BD6" w:rsidP="00DE25E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спрямованій</w:t>
      </w:r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кристалізації спла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- 3,8 мас.% B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міжфазному</w:t>
      </w:r>
      <w:proofErr w:type="spellEnd"/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кордоні спостерігаєт</w:t>
      </w:r>
      <w:r>
        <w:rPr>
          <w:rFonts w:ascii="Times New Roman" w:hAnsi="Times New Roman" w:cs="Times New Roman"/>
          <w:sz w:val="24"/>
          <w:szCs w:val="24"/>
          <w:lang w:val="uk-UA"/>
        </w:rPr>
        <w:t>ься мінімальн</w:t>
      </w:r>
      <w:r w:rsidR="00DE25E9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кристалографічна</w:t>
      </w:r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і структурна невідповідність (≈2%) між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фазами, при якому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міжфазна</w:t>
      </w:r>
      <w:proofErr w:type="spellEnd"/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межа має мінімальну </w:t>
      </w:r>
      <w:r w:rsidR="00DE25E9" w:rsidRPr="003C0EE5">
        <w:rPr>
          <w:rFonts w:ascii="Times New Roman" w:hAnsi="Times New Roman" w:cs="Times New Roman"/>
          <w:sz w:val="24"/>
          <w:szCs w:val="24"/>
          <w:lang w:val="uk-UA"/>
        </w:rPr>
        <w:t>питом</w:t>
      </w:r>
      <w:r w:rsidR="00DE25E9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поверхневу</w:t>
      </w:r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енергією. Останнє обумов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лює структурну стабільність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борі</w:t>
      </w:r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>дних</w:t>
      </w:r>
      <w:proofErr w:type="spellEnd"/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сплавів нікелю аж до </w:t>
      </w:r>
      <w:proofErr w:type="spellStart"/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>предплавільних</w:t>
      </w:r>
      <w:proofErr w:type="spellEnd"/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 xml:space="preserve"> температур, що розширює можливі сфери їх застосування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нових галузях науки та техніки </w:t>
      </w:r>
      <w:r w:rsidR="003C0EE5" w:rsidRPr="003C0EE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25E9" w:rsidRDefault="00DE25E9" w:rsidP="00DE25E9">
      <w:pPr>
        <w:spacing w:after="0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A264B7">
        <w:rPr>
          <w:rFonts w:ascii="Times New Roman" w:hAnsi="Times New Roman" w:cs="Times New Roman"/>
          <w:i/>
          <w:sz w:val="24"/>
          <w:szCs w:val="24"/>
        </w:rPr>
        <w:t>тература</w:t>
      </w:r>
    </w:p>
    <w:p w:rsidR="00DE25E9" w:rsidRDefault="00DE25E9" w:rsidP="00DE25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Воеводин В. Н. Эволюция структурно-фазового состояния и радиационная стойкость конструкционных материалов </w:t>
      </w:r>
      <w:r w:rsidRPr="00A264B7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В. Н. Воеводин, И. М. Неклюдов. – К.: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Наукова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думка, 2006. –С. 115-160.</w:t>
      </w:r>
    </w:p>
    <w:p w:rsidR="00DE25E9" w:rsidRDefault="00DE25E9" w:rsidP="00DE25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Azarenkov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N. Thermal and dimensional stability of refractory carbide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microcomposite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structure / N.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Azarenkov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V.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Semenenko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, A.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Leonovich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// Reliability and Life of Machines and Structures. – 2013. – Issue 37. – P. 111-123.</w:t>
      </w:r>
    </w:p>
    <w:p w:rsidR="00DE25E9" w:rsidRPr="00E044A4" w:rsidRDefault="00DE25E9" w:rsidP="00DE25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Н. А. Азаренков, В. Е. Семененко, В. И. Ткаченко </w:t>
      </w:r>
      <w:r w:rsidRPr="00E044A4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Перспективные конструкционные материалы нетрадиционной атомной энергетики </w:t>
      </w:r>
      <w:r w:rsidRPr="00E044A4">
        <w:rPr>
          <w:rFonts w:ascii="Times New Roman" w:hAnsi="Times New Roman" w:cs="Times New Roman"/>
          <w:sz w:val="20"/>
          <w:szCs w:val="20"/>
        </w:rPr>
        <w:t xml:space="preserve">// </w:t>
      </w:r>
      <w:r>
        <w:rPr>
          <w:rFonts w:ascii="Times New Roman" w:hAnsi="Times New Roman" w:cs="Times New Roman"/>
          <w:sz w:val="20"/>
          <w:szCs w:val="20"/>
        </w:rPr>
        <w:t>- Х.</w:t>
      </w:r>
      <w:r w:rsidRPr="000536EB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ХНУ, 2016. –С. 86-88.</w:t>
      </w:r>
    </w:p>
    <w:p w:rsidR="00DE25E9" w:rsidRPr="00DE25E9" w:rsidRDefault="00DE25E9" w:rsidP="003C0EE5">
      <w:pPr>
        <w:ind w:firstLine="284"/>
      </w:pPr>
    </w:p>
    <w:sectPr w:rsidR="00DE25E9" w:rsidRPr="00DE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73107"/>
    <w:multiLevelType w:val="hybridMultilevel"/>
    <w:tmpl w:val="58DC6DF0"/>
    <w:lvl w:ilvl="0" w:tplc="B2C47A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5C"/>
    <w:rsid w:val="003C0EE5"/>
    <w:rsid w:val="003E45E5"/>
    <w:rsid w:val="00D21A5C"/>
    <w:rsid w:val="00D76039"/>
    <w:rsid w:val="00DE25E9"/>
    <w:rsid w:val="00E9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2017-10-30T13:58:00Z</dcterms:created>
  <dcterms:modified xsi:type="dcterms:W3CDTF">2017-10-30T14:24:00Z</dcterms:modified>
</cp:coreProperties>
</file>